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5CED" w:rsidRPr="001F2AA9" w:rsidRDefault="007D5CED" w:rsidP="007D5CED">
      <w:pPr>
        <w:pStyle w:val="Nagwekspisutreci"/>
        <w:pBdr>
          <w:top w:val="single" w:sz="24" w:space="1" w:color="4F81BD"/>
        </w:pBdr>
        <w:rPr>
          <w:lang w:val="pl-PL"/>
        </w:rPr>
      </w:pPr>
      <w:bookmarkStart w:id="0" w:name="_Toc114991974"/>
      <w:r w:rsidRPr="001F2AA9">
        <w:rPr>
          <w:lang w:val="pl-PL"/>
        </w:rPr>
        <w:t>Spis treści</w:t>
      </w:r>
    </w:p>
    <w:bookmarkStart w:id="1" w:name="_GoBack"/>
    <w:bookmarkEnd w:id="1"/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r w:rsidRPr="001F2AA9">
        <w:rPr>
          <w:noProof w:val="0"/>
          <w:lang w:val="pl-PL"/>
        </w:rPr>
        <w:fldChar w:fldCharType="begin"/>
      </w:r>
      <w:r w:rsidRPr="001F2AA9">
        <w:rPr>
          <w:noProof w:val="0"/>
          <w:lang w:val="pl-PL"/>
        </w:rPr>
        <w:instrText xml:space="preserve"> TOC \o "1-3" \h \z \u </w:instrText>
      </w:r>
      <w:r w:rsidRPr="001F2AA9">
        <w:rPr>
          <w:noProof w:val="0"/>
          <w:lang w:val="pl-PL"/>
        </w:rPr>
        <w:fldChar w:fldCharType="separate"/>
      </w:r>
      <w:hyperlink w:anchor="_Toc460320176" w:history="1">
        <w:r w:rsidRPr="002F6305">
          <w:rPr>
            <w:rStyle w:val="Hipercze"/>
          </w:rPr>
          <w:t>WSTĘP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_Toc460320176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2"/>
        <w:tabs>
          <w:tab w:val="right" w:leader="dot" w:pos="9345"/>
        </w:tabs>
        <w:rPr>
          <w:rFonts w:asciiTheme="minorHAnsi" w:eastAsiaTheme="minorEastAsia" w:hAnsiTheme="minorHAnsi" w:cstheme="minorBidi"/>
          <w:i w:val="0"/>
          <w:smallCaps w:val="0"/>
          <w:noProof/>
          <w:szCs w:val="22"/>
          <w:lang w:val="pl-PL" w:eastAsia="pl-PL" w:bidi="ar-SA"/>
        </w:rPr>
      </w:pPr>
      <w:hyperlink w:anchor="_Toc460320177" w:history="1">
        <w:r w:rsidRPr="002F6305">
          <w:rPr>
            <w:rStyle w:val="Hipercze"/>
            <w:noProof/>
          </w:rPr>
          <w:t>Przedmiot Specyfikacji Technicznej (SST)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_Toc460320177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D5CED" w:rsidRDefault="007D5CED">
      <w:pPr>
        <w:pStyle w:val="Spistreci2"/>
        <w:tabs>
          <w:tab w:val="right" w:leader="dot" w:pos="9345"/>
        </w:tabs>
        <w:rPr>
          <w:rFonts w:asciiTheme="minorHAnsi" w:eastAsiaTheme="minorEastAsia" w:hAnsiTheme="minorHAnsi" w:cstheme="minorBidi"/>
          <w:i w:val="0"/>
          <w:smallCaps w:val="0"/>
          <w:noProof/>
          <w:szCs w:val="22"/>
          <w:lang w:val="pl-PL" w:eastAsia="pl-PL" w:bidi="ar-SA"/>
        </w:rPr>
      </w:pPr>
      <w:hyperlink w:anchor="_Toc460320178" w:history="1">
        <w:r w:rsidRPr="002F6305">
          <w:rPr>
            <w:rStyle w:val="Hipercze"/>
            <w:noProof/>
          </w:rPr>
          <w:t>Zakres stosowania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_Toc460320178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D5CED" w:rsidRDefault="007D5CED">
      <w:pPr>
        <w:pStyle w:val="Spistreci2"/>
        <w:tabs>
          <w:tab w:val="right" w:leader="dot" w:pos="9345"/>
        </w:tabs>
        <w:rPr>
          <w:rFonts w:asciiTheme="minorHAnsi" w:eastAsiaTheme="minorEastAsia" w:hAnsiTheme="minorHAnsi" w:cstheme="minorBidi"/>
          <w:i w:val="0"/>
          <w:smallCaps w:val="0"/>
          <w:noProof/>
          <w:szCs w:val="22"/>
          <w:lang w:val="pl-PL" w:eastAsia="pl-PL" w:bidi="ar-SA"/>
        </w:rPr>
      </w:pPr>
      <w:hyperlink w:anchor="_Toc460320179" w:history="1">
        <w:r w:rsidRPr="002F6305">
          <w:rPr>
            <w:rStyle w:val="Hipercze"/>
            <w:noProof/>
          </w:rPr>
          <w:t>Zakres Robót objętych Umową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_Toc460320179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0" w:history="1">
        <w:r w:rsidRPr="002F6305">
          <w:rPr>
            <w:rStyle w:val="Hipercze"/>
          </w:rPr>
          <w:t>Sprzęt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1" w:history="1">
        <w:r w:rsidRPr="002F6305">
          <w:rPr>
            <w:rStyle w:val="Hipercze"/>
          </w:rPr>
          <w:t>Transport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2" w:history="1">
        <w:r w:rsidRPr="002F6305">
          <w:rPr>
            <w:rStyle w:val="Hipercze"/>
          </w:rPr>
          <w:t>Wykonanie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40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2"/>
        <w:tabs>
          <w:tab w:val="right" w:leader="dot" w:pos="9345"/>
        </w:tabs>
        <w:rPr>
          <w:rFonts w:asciiTheme="minorHAnsi" w:eastAsiaTheme="minorEastAsia" w:hAnsiTheme="minorHAnsi" w:cstheme="minorBidi"/>
          <w:i w:val="0"/>
          <w:smallCaps w:val="0"/>
          <w:noProof/>
          <w:szCs w:val="22"/>
          <w:lang w:val="pl-PL" w:eastAsia="pl-PL" w:bidi="ar-SA"/>
        </w:rPr>
      </w:pPr>
      <w:hyperlink w:anchor="_Toc460320183" w:history="1">
        <w:r w:rsidRPr="002F6305">
          <w:rPr>
            <w:rStyle w:val="Hipercze"/>
            <w:noProof/>
          </w:rPr>
          <w:t>Rozbiórka elementów dróg i chodników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_Toc460320183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40</w:t>
        </w:r>
        <w:r>
          <w:rPr>
            <w:noProof/>
            <w:webHidden/>
          </w:rPr>
          <w:fldChar w:fldCharType="end"/>
        </w:r>
      </w:hyperlink>
    </w:p>
    <w:p w:rsidR="007D5CED" w:rsidRDefault="007D5CED">
      <w:pPr>
        <w:pStyle w:val="Spistreci2"/>
        <w:tabs>
          <w:tab w:val="right" w:leader="dot" w:pos="9345"/>
        </w:tabs>
        <w:rPr>
          <w:rFonts w:asciiTheme="minorHAnsi" w:eastAsiaTheme="minorEastAsia" w:hAnsiTheme="minorHAnsi" w:cstheme="minorBidi"/>
          <w:i w:val="0"/>
          <w:smallCaps w:val="0"/>
          <w:noProof/>
          <w:szCs w:val="22"/>
          <w:lang w:val="pl-PL" w:eastAsia="pl-PL" w:bidi="ar-SA"/>
        </w:rPr>
      </w:pPr>
      <w:hyperlink w:anchor="_Toc460320184" w:history="1">
        <w:r w:rsidRPr="002F6305">
          <w:rPr>
            <w:rStyle w:val="Hipercze"/>
            <w:noProof/>
          </w:rPr>
          <w:t>Rozbiórka elementów budowlanych (m.in. rozbiórka ogrodzeń)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_Toc460320184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5" w:history="1">
        <w:r w:rsidRPr="002F6305">
          <w:rPr>
            <w:rStyle w:val="Hipercze"/>
          </w:rPr>
          <w:t>Kontrola Robót rozbiórkowych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6" w:history="1">
        <w:r w:rsidRPr="002F6305">
          <w:rPr>
            <w:rStyle w:val="Hipercze"/>
          </w:rPr>
          <w:t>Obmiar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7" w:history="1">
        <w:r w:rsidRPr="002F6305">
          <w:rPr>
            <w:rStyle w:val="Hipercze"/>
          </w:rPr>
          <w:t>ODBIÓR Robót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8" w:history="1">
        <w:r w:rsidRPr="002F6305">
          <w:rPr>
            <w:rStyle w:val="Hipercze"/>
          </w:rPr>
          <w:t>Podstawa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42</w:t>
        </w:r>
        <w:r>
          <w:rPr>
            <w:webHidden/>
          </w:rPr>
          <w:fldChar w:fldCharType="end"/>
        </w:r>
      </w:hyperlink>
    </w:p>
    <w:p w:rsidR="007D5CED" w:rsidRDefault="007D5CED">
      <w:pPr>
        <w:pStyle w:val="Spistreci1"/>
        <w:rPr>
          <w:rFonts w:asciiTheme="minorHAnsi" w:eastAsiaTheme="minorEastAsia" w:hAnsiTheme="minorHAnsi" w:cstheme="minorBidi"/>
          <w:b w:val="0"/>
          <w:caps w:val="0"/>
          <w:szCs w:val="22"/>
          <w:lang w:val="pl-PL" w:eastAsia="pl-PL" w:bidi="ar-SA"/>
        </w:rPr>
      </w:pPr>
      <w:hyperlink w:anchor="_Toc460320189" w:history="1">
        <w:r w:rsidRPr="002F6305">
          <w:rPr>
            <w:rStyle w:val="Hipercze"/>
          </w:rPr>
          <w:t>DOKUMENTY ODNIESIENIA I Przepisy związane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_Toc460320189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>
          <w:rPr>
            <w:webHidden/>
          </w:rPr>
          <w:t>43</w:t>
        </w:r>
        <w:r>
          <w:rPr>
            <w:webHidden/>
          </w:rPr>
          <w:fldChar w:fldCharType="end"/>
        </w:r>
      </w:hyperlink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fldChar w:fldCharType="end"/>
      </w:r>
    </w:p>
    <w:p w:rsidR="007D5CED" w:rsidRPr="001F2AA9" w:rsidRDefault="007D5CED" w:rsidP="007D5CED">
      <w:pPr>
        <w:pStyle w:val="Tytu"/>
        <w:rPr>
          <w:lang w:val="pl-PL"/>
        </w:rPr>
      </w:pPr>
      <w:bookmarkStart w:id="2" w:name="_Toc147211602"/>
      <w:bookmarkStart w:id="3" w:name="_Toc190848612"/>
      <w:bookmarkStart w:id="4" w:name="_Toc236549910"/>
      <w:bookmarkStart w:id="5" w:name="_Toc236550255"/>
      <w:bookmarkStart w:id="6" w:name="_Toc236550556"/>
      <w:bookmarkStart w:id="7" w:name="_Toc236550665"/>
      <w:bookmarkStart w:id="8" w:name="_Toc236550799"/>
      <w:bookmarkStart w:id="9" w:name="_Toc236560571"/>
      <w:bookmarkStart w:id="10" w:name="_Toc236560938"/>
      <w:r w:rsidRPr="001F2AA9">
        <w:rPr>
          <w:lang w:val="pl-PL"/>
        </w:rPr>
        <w:br w:type="page"/>
      </w:r>
      <w:r w:rsidRPr="001F2AA9">
        <w:rPr>
          <w:lang w:val="pl-PL"/>
        </w:rPr>
        <w:lastRenderedPageBreak/>
        <w:t>ST 02</w:t>
      </w:r>
      <w:r w:rsidRPr="001F2AA9">
        <w:rPr>
          <w:lang w:val="pl-PL"/>
        </w:rPr>
        <w:tab/>
        <w:t xml:space="preserve">ROBOTY </w:t>
      </w:r>
      <w:bookmarkEnd w:id="0"/>
      <w:bookmarkEnd w:id="2"/>
      <w:r w:rsidRPr="001F2AA9">
        <w:rPr>
          <w:lang w:val="pl-PL"/>
        </w:rPr>
        <w:t>ROZBIÓRKOWE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</w:p>
    <w:p w:rsidR="007D5CED" w:rsidRPr="001F2AA9" w:rsidRDefault="007D5CED" w:rsidP="007D5CED">
      <w:pPr>
        <w:pStyle w:val="Nagwek1"/>
      </w:pPr>
      <w:bookmarkStart w:id="11" w:name="_Toc147211603"/>
      <w:bookmarkStart w:id="12" w:name="_Toc147289144"/>
      <w:bookmarkStart w:id="13" w:name="_Toc147289662"/>
      <w:bookmarkStart w:id="14" w:name="_Toc147917739"/>
      <w:bookmarkStart w:id="15" w:name="_Toc190848613"/>
      <w:bookmarkStart w:id="16" w:name="_Toc236549911"/>
      <w:bookmarkStart w:id="17" w:name="_Toc236550256"/>
      <w:bookmarkStart w:id="18" w:name="_Toc236550557"/>
      <w:bookmarkStart w:id="19" w:name="_Toc236550666"/>
      <w:bookmarkStart w:id="20" w:name="_Toc236550800"/>
      <w:bookmarkStart w:id="21" w:name="_Toc236560572"/>
      <w:bookmarkStart w:id="22" w:name="_Toc236560939"/>
      <w:bookmarkStart w:id="23" w:name="_Toc236588386"/>
      <w:bookmarkStart w:id="24" w:name="_Toc460320176"/>
      <w:r w:rsidRPr="001F2AA9">
        <w:t>WSTĘP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7D5CED" w:rsidRPr="001F2AA9" w:rsidRDefault="007D5CED" w:rsidP="007D5CED">
      <w:pPr>
        <w:pStyle w:val="Nagwek2"/>
      </w:pPr>
      <w:bookmarkStart w:id="25" w:name="_Toc147211604"/>
      <w:bookmarkStart w:id="26" w:name="_Toc147289145"/>
      <w:bookmarkStart w:id="27" w:name="_Toc147289663"/>
      <w:bookmarkStart w:id="28" w:name="_Toc147917740"/>
      <w:bookmarkStart w:id="29" w:name="_Toc190848614"/>
      <w:bookmarkStart w:id="30" w:name="_Toc236549912"/>
      <w:bookmarkStart w:id="31" w:name="_Toc236550257"/>
      <w:bookmarkStart w:id="32" w:name="_Toc236550558"/>
      <w:bookmarkStart w:id="33" w:name="_Toc236550667"/>
      <w:bookmarkStart w:id="34" w:name="_Toc236550801"/>
      <w:bookmarkStart w:id="35" w:name="_Toc236560573"/>
      <w:bookmarkStart w:id="36" w:name="_Toc236560940"/>
      <w:bookmarkStart w:id="37" w:name="_Toc236588387"/>
      <w:bookmarkStart w:id="38" w:name="_Toc460320177"/>
      <w:r w:rsidRPr="001F2AA9">
        <w:t>Przedmiot Specyfikacji Technicznej (SST)</w:t>
      </w:r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:rsidR="007D5CED" w:rsidRPr="001F2AA9" w:rsidRDefault="007D5CED" w:rsidP="007D5CED">
      <w:pPr>
        <w:rPr>
          <w:lang w:val="pl-PL"/>
        </w:rPr>
      </w:pPr>
      <w:bookmarkStart w:id="39" w:name="_Toc147211605"/>
      <w:bookmarkStart w:id="40" w:name="_Toc147289146"/>
      <w:bookmarkStart w:id="41" w:name="_Toc147289664"/>
      <w:bookmarkStart w:id="42" w:name="_Toc147917741"/>
      <w:r w:rsidRPr="001F2AA9">
        <w:rPr>
          <w:lang w:val="pl-PL"/>
        </w:rPr>
        <w:t>Specyfikacja Techniczna, ST-02. – Roboty Rozbiórkowe odnosi się do wymagań wspólnych dla poszczególnych specyfikacji wykonania i odbioru robót.</w:t>
      </w:r>
    </w:p>
    <w:p w:rsidR="007D5CED" w:rsidRPr="001F2AA9" w:rsidRDefault="007D5CED" w:rsidP="007D5CED">
      <w:pPr>
        <w:pStyle w:val="Nagwek2"/>
      </w:pPr>
      <w:bookmarkStart w:id="43" w:name="_Toc190848615"/>
      <w:bookmarkStart w:id="44" w:name="_Toc236549913"/>
      <w:bookmarkStart w:id="45" w:name="_Toc236550258"/>
      <w:bookmarkStart w:id="46" w:name="_Toc236550559"/>
      <w:bookmarkStart w:id="47" w:name="_Toc236550668"/>
      <w:bookmarkStart w:id="48" w:name="_Toc236550802"/>
      <w:bookmarkStart w:id="49" w:name="_Toc236560574"/>
      <w:bookmarkStart w:id="50" w:name="_Toc236560941"/>
      <w:bookmarkStart w:id="51" w:name="_Toc236588388"/>
      <w:bookmarkStart w:id="52" w:name="_Toc460320178"/>
      <w:r w:rsidRPr="001F2AA9">
        <w:t>Zakres stosowania</w:t>
      </w:r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7D5CED" w:rsidRPr="001F2AA9" w:rsidRDefault="007D5CED" w:rsidP="007D5CED">
      <w:pPr>
        <w:rPr>
          <w:lang w:val="pl-PL"/>
        </w:rPr>
      </w:pPr>
      <w:bookmarkStart w:id="53" w:name="_Toc140024871"/>
      <w:bookmarkStart w:id="54" w:name="_Toc140025840"/>
      <w:bookmarkStart w:id="55" w:name="_Toc140042645"/>
      <w:bookmarkStart w:id="56" w:name="_Toc140288292"/>
      <w:bookmarkStart w:id="57" w:name="_Toc142364895"/>
      <w:bookmarkStart w:id="58" w:name="_Toc147289147"/>
      <w:bookmarkStart w:id="59" w:name="_Toc147289665"/>
      <w:bookmarkStart w:id="60" w:name="_Toc147917742"/>
      <w:bookmarkStart w:id="61" w:name="_Toc190848616"/>
      <w:r w:rsidRPr="001F2AA9">
        <w:rPr>
          <w:lang w:val="pl-PL"/>
        </w:rPr>
        <w:t>Specyfikacje Techniczną jako część Dokumentów Przetargowych i Umowy, należy odczytywać I rozumieć w odniesieniu do zakresu robót przedstawionego poniżej.</w:t>
      </w:r>
    </w:p>
    <w:p w:rsidR="007D5CED" w:rsidRPr="001F2AA9" w:rsidRDefault="007D5CED" w:rsidP="007D5CED">
      <w:pPr>
        <w:pStyle w:val="Nagwek2"/>
      </w:pPr>
      <w:bookmarkStart w:id="62" w:name="_Toc236549914"/>
      <w:bookmarkStart w:id="63" w:name="_Toc236550259"/>
      <w:bookmarkStart w:id="64" w:name="_Toc236550560"/>
      <w:bookmarkStart w:id="65" w:name="_Toc236550669"/>
      <w:bookmarkStart w:id="66" w:name="_Toc236550803"/>
      <w:bookmarkStart w:id="67" w:name="_Toc236560575"/>
      <w:bookmarkStart w:id="68" w:name="_Toc236560942"/>
      <w:bookmarkStart w:id="69" w:name="_Toc236588389"/>
      <w:bookmarkStart w:id="70" w:name="_Toc460320179"/>
      <w:r w:rsidRPr="001F2AA9">
        <w:t xml:space="preserve">Zakres Robót objętych 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r w:rsidRPr="001F2AA9">
        <w:t>Umową</w:t>
      </w:r>
      <w:bookmarkEnd w:id="63"/>
      <w:bookmarkEnd w:id="64"/>
      <w:bookmarkEnd w:id="65"/>
      <w:bookmarkEnd w:id="66"/>
      <w:bookmarkEnd w:id="67"/>
      <w:bookmarkEnd w:id="68"/>
      <w:bookmarkEnd w:id="69"/>
      <w:bookmarkEnd w:id="70"/>
    </w:p>
    <w:p w:rsidR="007D5CED" w:rsidRPr="001F2AA9" w:rsidRDefault="007D5CED" w:rsidP="007D5CED">
      <w:pPr>
        <w:rPr>
          <w:lang w:val="pl-PL"/>
        </w:rPr>
      </w:pPr>
      <w:bookmarkStart w:id="71" w:name="_Toc140024873"/>
      <w:bookmarkStart w:id="72" w:name="_Toc140025842"/>
      <w:bookmarkStart w:id="73" w:name="_Toc140042647"/>
      <w:bookmarkStart w:id="74" w:name="_Toc140288294"/>
      <w:bookmarkStart w:id="75" w:name="_Toc142364897"/>
      <w:bookmarkStart w:id="76" w:name="_Toc147289149"/>
      <w:bookmarkStart w:id="77" w:name="_Toc147289667"/>
      <w:bookmarkStart w:id="78" w:name="_Toc147917744"/>
      <w:bookmarkStart w:id="79" w:name="_Toc190848617"/>
      <w:bookmarkStart w:id="80" w:name="_Toc236549915"/>
      <w:bookmarkStart w:id="81" w:name="_Toc236550260"/>
      <w:bookmarkStart w:id="82" w:name="_Toc236550561"/>
      <w:bookmarkStart w:id="83" w:name="_Toc236550670"/>
      <w:bookmarkStart w:id="84" w:name="_Toc236550804"/>
      <w:bookmarkStart w:id="85" w:name="_Toc236560576"/>
      <w:bookmarkStart w:id="86" w:name="_Toc236560943"/>
      <w:bookmarkStart w:id="87" w:name="_Toc236588390"/>
      <w:r w:rsidRPr="001F2AA9">
        <w:rPr>
          <w:lang w:val="pl-PL"/>
        </w:rPr>
        <w:t>Specyfikacje Techniczną jako część Dokumentów Przetargowych i Umowy, należy odczytywać I rozumieć w odniesieniu do zakresu robót przedstawionego poniżej.</w:t>
      </w:r>
    </w:p>
    <w:p w:rsidR="007D5CED" w:rsidRPr="001F2AA9" w:rsidRDefault="007D5CED" w:rsidP="007D5CED">
      <w:pPr>
        <w:pStyle w:val="Nagwek1"/>
      </w:pPr>
      <w:bookmarkStart w:id="88" w:name="_Toc460320180"/>
      <w:r w:rsidRPr="001F2AA9">
        <w:t>Sprzęt</w:t>
      </w:r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Wykonawca przystępujący do wykonania Robót rozbiórkowych powinien wykazać się możliwością korzy</w:t>
      </w:r>
      <w:r w:rsidRPr="001F2AA9">
        <w:rPr>
          <w:lang w:val="pl-PL"/>
        </w:rPr>
        <w:softHyphen/>
        <w:t>stania z następującego sprzętu: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spycharki,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ładowarki,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żurawie samochodowe,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samochody ciężarowe,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młoty pneumatyczne,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piły mechaniczne,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palniki acetylenowe,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koparki,</w:t>
      </w:r>
    </w:p>
    <w:p w:rsidR="007D5CED" w:rsidRPr="001F2AA9" w:rsidRDefault="007D5CED" w:rsidP="007D5CED">
      <w:pPr>
        <w:numPr>
          <w:ilvl w:val="0"/>
          <w:numId w:val="2"/>
        </w:numPr>
        <w:spacing w:before="0" w:after="0"/>
        <w:rPr>
          <w:lang w:val="pl-PL"/>
        </w:rPr>
      </w:pPr>
      <w:r w:rsidRPr="001F2AA9">
        <w:rPr>
          <w:lang w:val="pl-PL"/>
        </w:rPr>
        <w:t>drobny sprzęt pomocniczy.</w:t>
      </w:r>
    </w:p>
    <w:p w:rsidR="007D5CED" w:rsidRPr="001F2AA9" w:rsidRDefault="007D5CED" w:rsidP="007D5CED">
      <w:pPr>
        <w:pStyle w:val="Nagwek1"/>
      </w:pPr>
      <w:bookmarkStart w:id="89" w:name="_Toc140024874"/>
      <w:bookmarkStart w:id="90" w:name="_Toc140025843"/>
      <w:bookmarkStart w:id="91" w:name="_Toc140042648"/>
      <w:bookmarkStart w:id="92" w:name="_Toc140288295"/>
      <w:bookmarkStart w:id="93" w:name="_Toc142364898"/>
      <w:bookmarkStart w:id="94" w:name="_Toc147289150"/>
      <w:bookmarkStart w:id="95" w:name="_Toc147289668"/>
      <w:bookmarkStart w:id="96" w:name="_Toc147917745"/>
      <w:bookmarkStart w:id="97" w:name="_Toc190848618"/>
      <w:bookmarkStart w:id="98" w:name="_Toc236549916"/>
      <w:bookmarkStart w:id="99" w:name="_Toc236550261"/>
      <w:bookmarkStart w:id="100" w:name="_Toc236550562"/>
      <w:bookmarkStart w:id="101" w:name="_Toc236550671"/>
      <w:bookmarkStart w:id="102" w:name="_Toc236550805"/>
      <w:bookmarkStart w:id="103" w:name="_Toc236560577"/>
      <w:bookmarkStart w:id="104" w:name="_Toc236560944"/>
      <w:bookmarkStart w:id="105" w:name="_Toc236588391"/>
      <w:bookmarkStart w:id="106" w:name="_Toc460320181"/>
      <w:r w:rsidRPr="001F2AA9">
        <w:t>Transport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Ogólne wymagania dotyczące transportu podano w ST 00.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Środki transportu winny być zgodne z ustaleniami ST, PZJ oraz projektu organizacji Robót.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Przy ruchu po drogach publicznych pojazdy muszą spełniać wymagania przepisów ruchu drogowego tak pod względem formalnym jak i rzeczowym.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Przewożony ładunek należy zabezpieczyć przed spadaniem i przesuwaniem.</w:t>
      </w:r>
    </w:p>
    <w:p w:rsidR="007D5CED" w:rsidRPr="001F2AA9" w:rsidRDefault="007D5CED" w:rsidP="007D5CED">
      <w:pPr>
        <w:pStyle w:val="Nagwek1"/>
      </w:pPr>
      <w:bookmarkStart w:id="107" w:name="_Toc140024875"/>
      <w:bookmarkStart w:id="108" w:name="_Toc140025844"/>
      <w:bookmarkStart w:id="109" w:name="_Toc140042649"/>
      <w:bookmarkStart w:id="110" w:name="_Toc140288296"/>
      <w:bookmarkStart w:id="111" w:name="_Toc142364899"/>
      <w:bookmarkStart w:id="112" w:name="_Toc147289151"/>
      <w:bookmarkStart w:id="113" w:name="_Toc147289669"/>
      <w:bookmarkStart w:id="114" w:name="_Toc147917746"/>
      <w:bookmarkStart w:id="115" w:name="_Toc190848619"/>
      <w:bookmarkStart w:id="116" w:name="_Toc236549917"/>
      <w:bookmarkStart w:id="117" w:name="_Toc236550262"/>
      <w:bookmarkStart w:id="118" w:name="_Toc236550563"/>
      <w:bookmarkStart w:id="119" w:name="_Toc236550672"/>
      <w:bookmarkStart w:id="120" w:name="_Toc236550806"/>
      <w:bookmarkStart w:id="121" w:name="_Toc236560578"/>
      <w:bookmarkStart w:id="122" w:name="_Toc236560945"/>
      <w:bookmarkStart w:id="123" w:name="_Toc236588392"/>
      <w:bookmarkStart w:id="124" w:name="_Toc460320182"/>
      <w:r w:rsidRPr="001F2AA9">
        <w:t>Wykonanie Robót</w:t>
      </w:r>
      <w:bookmarkStart w:id="125" w:name="_Toc140024876"/>
      <w:bookmarkStart w:id="126" w:name="_Toc140025845"/>
      <w:bookmarkStart w:id="127" w:name="_Toc140042650"/>
      <w:bookmarkStart w:id="128" w:name="_Toc140288297"/>
      <w:bookmarkStart w:id="129" w:name="_Toc142364900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7D5CED" w:rsidRPr="001F2AA9" w:rsidRDefault="007D5CED" w:rsidP="007D5CED">
      <w:pPr>
        <w:pStyle w:val="Nagwek2"/>
      </w:pPr>
      <w:r w:rsidRPr="001F2AA9">
        <w:t xml:space="preserve"> </w:t>
      </w:r>
      <w:bookmarkStart w:id="130" w:name="_Toc236550263"/>
      <w:bookmarkStart w:id="131" w:name="_Toc236550564"/>
      <w:bookmarkStart w:id="132" w:name="_Toc236550673"/>
      <w:bookmarkStart w:id="133" w:name="_Toc236550807"/>
      <w:bookmarkStart w:id="134" w:name="_Toc236560579"/>
      <w:bookmarkStart w:id="135" w:name="_Toc236560946"/>
      <w:bookmarkStart w:id="136" w:name="_Toc236588393"/>
      <w:bookmarkStart w:id="137" w:name="_Toc460320183"/>
      <w:r w:rsidRPr="001F2AA9">
        <w:t>Rozbiórka elementów dróg i chodników</w:t>
      </w:r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lastRenderedPageBreak/>
        <w:t>Rozpoczęcie Robót rozbiórkowych jest uwarunkowane wykorzysta</w:t>
      </w:r>
      <w:r>
        <w:rPr>
          <w:lang w:val="pl-PL"/>
        </w:rPr>
        <w:t>niem wymaganych dokumentów orga</w:t>
      </w:r>
      <w:r w:rsidRPr="001F2AA9">
        <w:rPr>
          <w:lang w:val="pl-PL"/>
        </w:rPr>
        <w:t>nizacji ruchu drogowego na czas Robót. Niezbędne oznakowanie należy zabudować w pasie drogowym zgodnie z zatwierdzonym projektem organizacji ruchu i obowiązującymi przepisami ruchu drogowego.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elementów dróg obejmują usunięcie z terenu</w:t>
      </w:r>
      <w:r>
        <w:rPr>
          <w:lang w:val="pl-PL"/>
        </w:rPr>
        <w:t xml:space="preserve"> budowy wszystkich elementów na</w:t>
      </w:r>
      <w:r w:rsidRPr="001F2AA9">
        <w:rPr>
          <w:lang w:val="pl-PL"/>
        </w:rPr>
        <w:t>wierzchni i podbudów zgodnie z zatwierdzoną Dokumentacją Projektową lub wskazanych przez Zamawiającego.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Przed przystąpieniem do Robót należy zidentyfikować istniejące uzbroj</w:t>
      </w:r>
      <w:r>
        <w:rPr>
          <w:lang w:val="pl-PL"/>
        </w:rPr>
        <w:t>enie terenu i odpowiednio je za</w:t>
      </w:r>
      <w:r w:rsidRPr="001F2AA9">
        <w:rPr>
          <w:lang w:val="pl-PL"/>
        </w:rPr>
        <w:t>bezpieczyć, w przypadku konieczności odłączyć przepływ mediów (gaz, prąd elektryczny).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Elementy zabudowy nie podlegające rozbiórce a zlokalizowane w rejoni</w:t>
      </w:r>
      <w:r>
        <w:rPr>
          <w:lang w:val="pl-PL"/>
        </w:rPr>
        <w:t>e Robót rozbiórkowych należy od</w:t>
      </w:r>
      <w:r w:rsidRPr="001F2AA9">
        <w:rPr>
          <w:lang w:val="pl-PL"/>
        </w:rPr>
        <w:t>powiednio zabezpieczyć.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należy wykonać ręcznie lub odpowiednim, spra</w:t>
      </w:r>
      <w:r>
        <w:rPr>
          <w:lang w:val="pl-PL"/>
        </w:rPr>
        <w:t>wnym technicznie sprzętem mecha</w:t>
      </w:r>
      <w:r w:rsidRPr="001F2AA9">
        <w:rPr>
          <w:lang w:val="pl-PL"/>
        </w:rPr>
        <w:t>nicznym z zachowaniem ostrożności.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należy prowadzić w sposób umożliwiający maksymal</w:t>
      </w:r>
      <w:r>
        <w:rPr>
          <w:lang w:val="pl-PL"/>
        </w:rPr>
        <w:t>ny odzysk materiałów rozbiór</w:t>
      </w:r>
      <w:r w:rsidRPr="001F2AA9">
        <w:rPr>
          <w:lang w:val="pl-PL"/>
        </w:rPr>
        <w:t xml:space="preserve">kowych. Wszystkie elementy możliwe do powtórnego wykorzystania powinny być usuwane bez powodowania zbędnych uszkodzeń i przewiezione na miejsce zaakceptowane przez Zamawiającego. 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Gruz i materiały drobnicowe należy usuwać z rejonu Robót na bieżąco i utylizować, wywożąc na składowisko odpadów. Nadmiar ziemi odwożonej na odkład należy utylizować.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 xml:space="preserve">Doły (wykopy) powstałe po rozbiórce elementów dróg znajdujące się </w:t>
      </w:r>
      <w:r>
        <w:rPr>
          <w:lang w:val="pl-PL"/>
        </w:rPr>
        <w:t>w miejscach, gdzie zgodnie z za</w:t>
      </w:r>
      <w:r w:rsidRPr="001F2AA9">
        <w:rPr>
          <w:lang w:val="pl-PL"/>
        </w:rPr>
        <w:t>twierdzoną dokumentacją projektową będą wykonane wykopy, powinny być tymczasowo zabezpieczone. W szczególności należy zapobiec gromadzeniu się w nich wody opadowej. Doły w miejscach, gdzie nie przewiduje się wykonania wykopów należy wypełnić warstwami, odpowiednim gruntem do poziomu otaczającego terenu i zagęścić zgodnie z wymaganiami określonymi w ST Roboty ziemne.</w:t>
      </w:r>
    </w:p>
    <w:p w:rsidR="007D5CED" w:rsidRPr="001F2AA9" w:rsidRDefault="007D5CED" w:rsidP="007D5CED">
      <w:pPr>
        <w:pStyle w:val="Nagwek2"/>
      </w:pPr>
      <w:bookmarkStart w:id="138" w:name="_Toc140024877"/>
      <w:bookmarkStart w:id="139" w:name="_Toc140025846"/>
      <w:bookmarkStart w:id="140" w:name="_Toc140042651"/>
      <w:bookmarkStart w:id="141" w:name="_Toc140288298"/>
      <w:bookmarkStart w:id="142" w:name="_Toc142364901"/>
      <w:bookmarkStart w:id="143" w:name="_Toc236550264"/>
      <w:bookmarkStart w:id="144" w:name="_Toc236550565"/>
      <w:bookmarkStart w:id="145" w:name="_Toc236550674"/>
      <w:bookmarkStart w:id="146" w:name="_Toc236550808"/>
      <w:bookmarkStart w:id="147" w:name="_Toc236560580"/>
      <w:bookmarkStart w:id="148" w:name="_Toc236560947"/>
      <w:bookmarkStart w:id="149" w:name="_Toc236588394"/>
      <w:bookmarkStart w:id="150" w:name="_Toc460320184"/>
      <w:r w:rsidRPr="001F2AA9">
        <w:t>Rozbiórka elementów budowlanych (m.in. rozbiórka ogrodzeń)</w:t>
      </w:r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należy wykonać ręcznie lub odpowiednim, sprawnym technicznie sprzętem mechanicznym z zachowaniem ostrożności.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Elementy zabudowy nie podlegające rozbiórce a zlokalizowane w rejoni</w:t>
      </w:r>
      <w:r>
        <w:rPr>
          <w:lang w:val="pl-PL"/>
        </w:rPr>
        <w:t>e Robót rozbiórkowych należy od</w:t>
      </w:r>
      <w:r w:rsidRPr="001F2AA9">
        <w:rPr>
          <w:lang w:val="pl-PL"/>
        </w:rPr>
        <w:t>powiednio zabezpieczyć.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należy prowadzić w sposób umożliwiający maksy</w:t>
      </w:r>
      <w:r>
        <w:rPr>
          <w:lang w:val="pl-PL"/>
        </w:rPr>
        <w:t>malny odzysk materiałów rozbiór</w:t>
      </w:r>
      <w:r w:rsidRPr="001F2AA9">
        <w:rPr>
          <w:lang w:val="pl-PL"/>
        </w:rPr>
        <w:t>kowych. Wszystkie elementy możliwe do powtórnego wykorzystania</w:t>
      </w:r>
      <w:r>
        <w:rPr>
          <w:lang w:val="pl-PL"/>
        </w:rPr>
        <w:t xml:space="preserve"> powinny być usuwane bez powodo</w:t>
      </w:r>
      <w:r w:rsidRPr="001F2AA9">
        <w:rPr>
          <w:lang w:val="pl-PL"/>
        </w:rPr>
        <w:t>wania zbędnych uszkodzeń i przewiezione na miejsce zaakceptowane przez Zamawiającego. Gruz i materiały drobnicowe należy usuwać z rejonu Robót na bieżąco, wywożąc</w:t>
      </w:r>
      <w:r>
        <w:rPr>
          <w:lang w:val="pl-PL"/>
        </w:rPr>
        <w:t xml:space="preserve"> na wskazane składowi</w:t>
      </w:r>
      <w:r w:rsidRPr="001F2AA9">
        <w:rPr>
          <w:lang w:val="pl-PL"/>
        </w:rPr>
        <w:t>sko odpadów.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Roboty rozbiórkowe należy wykonać ręcznie lub odpowiednim, sprawnym technicznie .</w:t>
      </w:r>
    </w:p>
    <w:p w:rsidR="007D5CED" w:rsidRPr="001F2AA9" w:rsidRDefault="007D5CED" w:rsidP="007D5CED">
      <w:pPr>
        <w:pStyle w:val="Nagwek1"/>
      </w:pPr>
      <w:bookmarkStart w:id="151" w:name="_Toc140024880"/>
      <w:bookmarkStart w:id="152" w:name="_Toc140025849"/>
      <w:bookmarkStart w:id="153" w:name="_Toc140042654"/>
      <w:bookmarkStart w:id="154" w:name="_Toc140288301"/>
      <w:bookmarkStart w:id="155" w:name="_Toc142364904"/>
      <w:bookmarkStart w:id="156" w:name="_Toc147289152"/>
      <w:bookmarkStart w:id="157" w:name="_Toc147289670"/>
      <w:bookmarkStart w:id="158" w:name="_Toc147917747"/>
      <w:bookmarkStart w:id="159" w:name="_Toc190848620"/>
      <w:bookmarkStart w:id="160" w:name="_Toc236549918"/>
      <w:bookmarkStart w:id="161" w:name="_Toc236550265"/>
      <w:bookmarkStart w:id="162" w:name="_Toc236550566"/>
      <w:bookmarkStart w:id="163" w:name="_Toc236550675"/>
      <w:bookmarkStart w:id="164" w:name="_Toc236550809"/>
      <w:bookmarkStart w:id="165" w:name="_Toc236560581"/>
      <w:bookmarkStart w:id="166" w:name="_Toc236560948"/>
      <w:bookmarkStart w:id="167" w:name="_Toc236588395"/>
      <w:bookmarkStart w:id="168" w:name="_Toc460320185"/>
      <w:r w:rsidRPr="001F2AA9">
        <w:lastRenderedPageBreak/>
        <w:t>Kontrola Robót rozbiórkowych</w:t>
      </w:r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Kontrola jakości Robót rozbiórkowych polega na wizualnej ocenie ko</w:t>
      </w:r>
      <w:r>
        <w:rPr>
          <w:lang w:val="pl-PL"/>
        </w:rPr>
        <w:t>mpletności wykonanych Robót roz</w:t>
      </w:r>
      <w:r w:rsidRPr="001F2AA9">
        <w:rPr>
          <w:lang w:val="pl-PL"/>
        </w:rPr>
        <w:t>biórkowych oraz sprawdzeniu stopnia uszkodzenia elementów odzyska</w:t>
      </w:r>
      <w:r>
        <w:rPr>
          <w:lang w:val="pl-PL"/>
        </w:rPr>
        <w:t>nych, a w szczególności materia</w:t>
      </w:r>
      <w:r w:rsidRPr="001F2AA9">
        <w:rPr>
          <w:lang w:val="pl-PL"/>
        </w:rPr>
        <w:t>łów przewidzianych do powtórnego wykorzystania.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Zagęszczenie gruntu wypełniającego ewentualne doły po usuniętych elementach nawierzchni powinno spełniać odpowiednie wymagania określone w ST 03 Roboty ziemne.</w:t>
      </w:r>
    </w:p>
    <w:p w:rsidR="007D5CED" w:rsidRPr="001F2AA9" w:rsidRDefault="007D5CED" w:rsidP="007D5CED">
      <w:pPr>
        <w:pStyle w:val="Nagwek1"/>
      </w:pPr>
      <w:bookmarkStart w:id="169" w:name="_Toc140024881"/>
      <w:bookmarkStart w:id="170" w:name="_Toc140025850"/>
      <w:bookmarkStart w:id="171" w:name="_Toc140042655"/>
      <w:bookmarkStart w:id="172" w:name="_Toc140288302"/>
      <w:bookmarkStart w:id="173" w:name="_Toc142364905"/>
      <w:bookmarkStart w:id="174" w:name="_Toc147289153"/>
      <w:bookmarkStart w:id="175" w:name="_Toc147289671"/>
      <w:bookmarkStart w:id="176" w:name="_Toc147917748"/>
      <w:bookmarkStart w:id="177" w:name="_Toc190848621"/>
      <w:bookmarkStart w:id="178" w:name="_Toc236549919"/>
      <w:bookmarkStart w:id="179" w:name="_Toc236550266"/>
      <w:bookmarkStart w:id="180" w:name="_Toc236550567"/>
      <w:bookmarkStart w:id="181" w:name="_Toc236550676"/>
      <w:bookmarkStart w:id="182" w:name="_Toc236550810"/>
      <w:bookmarkStart w:id="183" w:name="_Toc236560582"/>
      <w:bookmarkStart w:id="184" w:name="_Toc236560949"/>
      <w:bookmarkStart w:id="185" w:name="_Toc236588396"/>
      <w:bookmarkStart w:id="186" w:name="_Toc460320186"/>
      <w:r w:rsidRPr="001F2AA9">
        <w:t>Obmiar Robót</w:t>
      </w:r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7D5CED" w:rsidRPr="001F2AA9" w:rsidRDefault="007D5CED" w:rsidP="007D5CED">
      <w:pPr>
        <w:rPr>
          <w:lang w:val="pl-PL"/>
        </w:rPr>
      </w:pPr>
      <w:bookmarkStart w:id="187" w:name="_Toc140024882"/>
      <w:bookmarkStart w:id="188" w:name="_Toc140025851"/>
      <w:bookmarkStart w:id="189" w:name="_Toc140042656"/>
      <w:bookmarkStart w:id="190" w:name="_Toc140288303"/>
      <w:bookmarkStart w:id="191" w:name="_Toc142364906"/>
      <w:bookmarkStart w:id="192" w:name="_Toc147289154"/>
      <w:bookmarkStart w:id="193" w:name="_Toc147289672"/>
      <w:bookmarkStart w:id="194" w:name="_Toc147917749"/>
      <w:bookmarkStart w:id="195" w:name="_Toc190848622"/>
      <w:r w:rsidRPr="001F2AA9">
        <w:rPr>
          <w:lang w:val="pl-PL"/>
        </w:rPr>
        <w:t>Obmiar Robót będzie określać faktyczny zakres wykonywanych Robót zgodnie z Dokumentacją Projektową.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 xml:space="preserve">Obmiaru Robót dokonuje Wykonawca po pisemnym powiadomieniu nadzoru Inwestycji o zakresie obmierzanych Robót i terminie obmiaru, co najmniej na 3 dni przed tym terminem. 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Obmiar gotowych Robót będzie przeprowadzony z częstością wymaganą do celu miesięcznej płatności na rzecz Wykonawcy lub w innym czasie określonym w Umowie.</w:t>
      </w:r>
    </w:p>
    <w:p w:rsidR="007D5CED" w:rsidRPr="001F2AA9" w:rsidRDefault="007D5CED" w:rsidP="007D5CED">
      <w:pPr>
        <w:pStyle w:val="Nagwek1"/>
      </w:pPr>
      <w:bookmarkStart w:id="196" w:name="_Toc236549920"/>
      <w:bookmarkStart w:id="197" w:name="_Toc236550267"/>
      <w:bookmarkStart w:id="198" w:name="_Toc236550568"/>
      <w:bookmarkStart w:id="199" w:name="_Toc236550677"/>
      <w:bookmarkStart w:id="200" w:name="_Toc236550811"/>
      <w:bookmarkStart w:id="201" w:name="_Toc236560583"/>
      <w:bookmarkStart w:id="202" w:name="_Toc236560950"/>
      <w:bookmarkStart w:id="203" w:name="_Toc236588397"/>
      <w:bookmarkStart w:id="204" w:name="_Toc460320187"/>
      <w:r w:rsidRPr="001F2AA9">
        <w:t>ODBIÓR Robót</w:t>
      </w:r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Ogólne zasady odbioru Robót i ich przejęcia podano w ST 00.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Celem odbioru jest protokolarne dokonanie finalnej oceny rzeczywistego wykonania Robót w odniesieniu do ich jakości i kompletności oraz zgodności z Dokumentacją Proj</w:t>
      </w:r>
      <w:r>
        <w:rPr>
          <w:lang w:val="pl-PL"/>
        </w:rPr>
        <w:t>ektową, w tym zgodności z warun</w:t>
      </w:r>
      <w:r w:rsidRPr="001F2AA9">
        <w:rPr>
          <w:lang w:val="pl-PL"/>
        </w:rPr>
        <w:t>kami wykonania i odbioru Robót.</w:t>
      </w:r>
    </w:p>
    <w:p w:rsidR="007D5CED" w:rsidRDefault="007D5CED" w:rsidP="007D5CED">
      <w:pPr>
        <w:rPr>
          <w:lang w:val="pl-PL"/>
        </w:rPr>
      </w:pPr>
      <w:r w:rsidRPr="001F2AA9">
        <w:rPr>
          <w:lang w:val="pl-PL"/>
        </w:rPr>
        <w:t>Gotowość do odbioru zgłasza Wykonawca wpisem do dziennika budowy przedkładając Inspektorowi Nadzoru do oceny i zatwierdzenia dokumentację powykonawczą Robót.</w:t>
      </w:r>
    </w:p>
    <w:p w:rsidR="007D5CED" w:rsidRPr="001F2AA9" w:rsidRDefault="007D5CED" w:rsidP="007D5CED">
      <w:pPr>
        <w:rPr>
          <w:lang w:val="pl-PL"/>
        </w:rPr>
      </w:pPr>
      <w:r>
        <w:rPr>
          <w:lang w:val="pl-PL"/>
        </w:rPr>
        <w:t xml:space="preserve">Przy materiałach szkodliwych Wykonawca dostarczy dokumenty potwierdzające ich właściwą utylizację. 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Odbiór jest potwierdzeniem wykonania Robót zgodnie z postanowieniami Umowy oraz obowiązującymi Normami Technicznymi (PN, EN-PN).</w:t>
      </w:r>
    </w:p>
    <w:p w:rsidR="007D5CED" w:rsidRPr="001F2AA9" w:rsidRDefault="007D5CED" w:rsidP="007D5CED">
      <w:pPr>
        <w:pStyle w:val="Nagwek1"/>
      </w:pPr>
      <w:bookmarkStart w:id="205" w:name="_Toc140024883"/>
      <w:bookmarkStart w:id="206" w:name="_Toc140025852"/>
      <w:bookmarkStart w:id="207" w:name="_Toc140042657"/>
      <w:bookmarkStart w:id="208" w:name="_Toc140288304"/>
      <w:bookmarkStart w:id="209" w:name="_Toc142364907"/>
      <w:bookmarkStart w:id="210" w:name="_Toc147289155"/>
      <w:bookmarkStart w:id="211" w:name="_Toc147289673"/>
      <w:bookmarkStart w:id="212" w:name="_Toc147917750"/>
      <w:bookmarkStart w:id="213" w:name="_Toc190848623"/>
      <w:bookmarkStart w:id="214" w:name="_Toc236549921"/>
      <w:bookmarkStart w:id="215" w:name="_Toc236550268"/>
      <w:bookmarkStart w:id="216" w:name="_Toc236550569"/>
      <w:bookmarkStart w:id="217" w:name="_Toc236550678"/>
      <w:bookmarkStart w:id="218" w:name="_Toc236550812"/>
      <w:bookmarkStart w:id="219" w:name="_Toc236560584"/>
      <w:bookmarkStart w:id="220" w:name="_Toc236560951"/>
      <w:bookmarkStart w:id="221" w:name="_Toc236588398"/>
      <w:bookmarkStart w:id="222" w:name="_Toc460320188"/>
      <w:r w:rsidRPr="001F2AA9">
        <w:t>Podstawa płatności</w:t>
      </w:r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Wykonanie Robót rozbiórkowych  w zakresie rozbiórki dróg i chodników obejmuje: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wyznaczenie powierzchni przeznaczonej do rozbiórki,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zerwanie nawierzchni,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zerwanie podbudowy,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przesortowanie materiału uzyskanego z rozbiórki, w celu ponownego jego użycia,</w:t>
      </w:r>
    </w:p>
    <w:p w:rsidR="007D5CED" w:rsidRPr="00CA5F8E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załadunek i wywiezienie materiałów z rozbiórki,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>
        <w:rPr>
          <w:lang w:val="pl-PL"/>
        </w:rPr>
        <w:t xml:space="preserve">   </w:t>
      </w:r>
      <w:r w:rsidRPr="001F2AA9">
        <w:rPr>
          <w:lang w:val="pl-PL"/>
        </w:rPr>
        <w:t>utylizacja materiału rozbiórkowego nieprzewidzianego oraz nienadającego się do ponownego wykorzystania,</w:t>
      </w:r>
    </w:p>
    <w:p w:rsidR="007D5CED" w:rsidRPr="001F2AA9" w:rsidRDefault="007D5CED" w:rsidP="007D5CED">
      <w:pPr>
        <w:numPr>
          <w:ilvl w:val="0"/>
          <w:numId w:val="1"/>
        </w:numPr>
        <w:spacing w:before="0" w:after="0"/>
        <w:rPr>
          <w:lang w:val="pl-PL"/>
        </w:rPr>
      </w:pPr>
      <w:r w:rsidRPr="001F2AA9">
        <w:rPr>
          <w:lang w:val="pl-PL"/>
        </w:rPr>
        <w:t>wyrównanie podłoża i uporządkowanie terenu rozbiórki;</w:t>
      </w:r>
    </w:p>
    <w:p w:rsidR="007D5CED" w:rsidRPr="001F2AA9" w:rsidRDefault="007D5CED" w:rsidP="007D5CED">
      <w:pPr>
        <w:pStyle w:val="Nagwek1"/>
      </w:pPr>
      <w:bookmarkStart w:id="223" w:name="_Toc140024884"/>
      <w:bookmarkStart w:id="224" w:name="_Toc140025853"/>
      <w:bookmarkStart w:id="225" w:name="_Toc140042658"/>
      <w:bookmarkStart w:id="226" w:name="_Toc140288305"/>
      <w:bookmarkStart w:id="227" w:name="_Toc142364908"/>
      <w:bookmarkStart w:id="228" w:name="_Toc147289156"/>
      <w:bookmarkStart w:id="229" w:name="_Toc147289674"/>
      <w:bookmarkStart w:id="230" w:name="_Toc147917751"/>
      <w:bookmarkStart w:id="231" w:name="_Toc190848624"/>
      <w:bookmarkStart w:id="232" w:name="_Toc236549922"/>
      <w:bookmarkStart w:id="233" w:name="_Toc236550269"/>
      <w:bookmarkStart w:id="234" w:name="_Toc236550570"/>
      <w:bookmarkStart w:id="235" w:name="_Toc236550679"/>
      <w:bookmarkStart w:id="236" w:name="_Toc236550813"/>
      <w:bookmarkStart w:id="237" w:name="_Toc236560585"/>
      <w:bookmarkStart w:id="238" w:name="_Toc236560952"/>
      <w:bookmarkStart w:id="239" w:name="_Toc236588399"/>
      <w:bookmarkStart w:id="240" w:name="_Toc460320189"/>
      <w:r w:rsidRPr="001F2AA9">
        <w:lastRenderedPageBreak/>
        <w:t>DOKUMENTY ODNIESIENIA I Przepisy związane</w:t>
      </w:r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 xml:space="preserve">WTWiO </w:t>
      </w:r>
      <w:r w:rsidRPr="001F2AA9">
        <w:rPr>
          <w:lang w:val="pl-PL"/>
        </w:rPr>
        <w:tab/>
      </w:r>
      <w:r w:rsidRPr="001F2AA9">
        <w:rPr>
          <w:lang w:val="pl-PL"/>
        </w:rPr>
        <w:tab/>
      </w:r>
      <w:r w:rsidRPr="001F2AA9">
        <w:rPr>
          <w:lang w:val="pl-PL"/>
        </w:rPr>
        <w:tab/>
        <w:t>Warunki Techniczne Wykonania i Odbioru Robót - ITB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 xml:space="preserve">PN-B-06712 </w:t>
      </w:r>
      <w:r w:rsidRPr="001F2AA9">
        <w:rPr>
          <w:lang w:val="pl-PL"/>
        </w:rPr>
        <w:tab/>
      </w:r>
      <w:r w:rsidRPr="001F2AA9">
        <w:rPr>
          <w:lang w:val="pl-PL"/>
        </w:rPr>
        <w:tab/>
        <w:t>Kruszywa mineralne do betonu zwykłego Normy pomocnicze: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 xml:space="preserve">BN-77/8931 -12 </w:t>
      </w:r>
      <w:r w:rsidRPr="001F2AA9">
        <w:rPr>
          <w:lang w:val="pl-PL"/>
        </w:rPr>
        <w:tab/>
        <w:t>Oznaczenie wskaźnika zagęszczenia gruntu</w:t>
      </w:r>
    </w:p>
    <w:p w:rsidR="007D5CED" w:rsidRPr="001F2AA9" w:rsidRDefault="007D5CED" w:rsidP="007D5CED">
      <w:pPr>
        <w:rPr>
          <w:lang w:val="pl-PL"/>
        </w:rPr>
      </w:pPr>
      <w:r w:rsidRPr="001F2AA9">
        <w:rPr>
          <w:lang w:val="pl-PL"/>
        </w:rPr>
        <w:t>oraz inne obowiązujące PN (EN-PN) lub odpowiednie normy UE w zakresie przyjętym przez polskie prawodawstwo.</w:t>
      </w:r>
    </w:p>
    <w:p w:rsidR="007D5CED" w:rsidRPr="001F2AA9" w:rsidRDefault="007D5CED" w:rsidP="007D5CED">
      <w:pPr>
        <w:rPr>
          <w:lang w:val="pl-PL"/>
        </w:rPr>
      </w:pPr>
    </w:p>
    <w:p w:rsidR="001C495A" w:rsidRDefault="001C495A"/>
    <w:sectPr w:rsidR="001C495A" w:rsidSect="001F2AA9">
      <w:headerReference w:type="default" r:id="rId5"/>
      <w:footerReference w:type="even" r:id="rId6"/>
      <w:footerReference w:type="default" r:id="rId7"/>
      <w:pgSz w:w="11907" w:h="16840" w:code="9"/>
      <w:pgMar w:top="567" w:right="851" w:bottom="737" w:left="1134" w:header="567" w:footer="737" w:gutter="567"/>
      <w:pgNumType w:start="39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310B" w:rsidRDefault="007D5CED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3310B" w:rsidRDefault="007D5CE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00" w:rsidRDefault="007D5CED">
    <w:pPr>
      <w:pStyle w:val="Stopka"/>
      <w:jc w:val="center"/>
    </w:pPr>
    <w:r>
      <w:fldChar w:fldCharType="begin"/>
    </w:r>
    <w:r>
      <w:instrText xml:space="preserve">PAGE  </w:instrText>
    </w:r>
    <w:r>
      <w:instrText xml:space="preserve"> \* MERGEFORMAT</w:instrText>
    </w:r>
    <w:r>
      <w:fldChar w:fldCharType="separate"/>
    </w:r>
    <w:r w:rsidRPr="007D5CED">
      <w:rPr>
        <w:noProof/>
        <w:lang w:val="pl-PL"/>
      </w:rPr>
      <w:t>39</w:t>
    </w:r>
    <w:r>
      <w:fldChar w:fldCharType="end"/>
    </w:r>
  </w:p>
  <w:p w:rsidR="00A3310B" w:rsidRPr="00FE1C03" w:rsidRDefault="007D5CED" w:rsidP="00A3310B">
    <w:pPr>
      <w:pStyle w:val="Stopka"/>
      <w:pBdr>
        <w:top w:val="single" w:sz="4" w:space="1" w:color="A5A5A5"/>
      </w:pBdr>
      <w:tabs>
        <w:tab w:val="clear" w:pos="4536"/>
        <w:tab w:val="clear" w:pos="9072"/>
        <w:tab w:val="center" w:pos="4677"/>
      </w:tabs>
      <w:rPr>
        <w:color w:val="7F7F7F"/>
        <w:sz w:val="16"/>
        <w:szCs w:val="16"/>
        <w:lang w:val="pl-PL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1F00" w:rsidRPr="00781F00" w:rsidRDefault="007D5CED" w:rsidP="00781F00">
    <w:pPr>
      <w:pBdr>
        <w:bottom w:val="single" w:sz="4" w:space="1" w:color="auto"/>
      </w:pBdr>
      <w:tabs>
        <w:tab w:val="center" w:pos="4536"/>
        <w:tab w:val="right" w:pos="9072"/>
      </w:tabs>
      <w:spacing w:before="0" w:after="0"/>
      <w:jc w:val="right"/>
      <w:rPr>
        <w:b/>
        <w:szCs w:val="22"/>
        <w:lang w:val="pl-PL"/>
      </w:rPr>
    </w:pPr>
    <w:r w:rsidRPr="00781F00">
      <w:rPr>
        <w:b/>
        <w:szCs w:val="22"/>
        <w:lang w:val="pl-PL"/>
      </w:rPr>
      <w:t>PW-K „LEGIONOWO”</w:t>
    </w:r>
  </w:p>
  <w:p w:rsidR="00FE1C03" w:rsidRPr="00392762" w:rsidRDefault="007D5CED" w:rsidP="006B6FC1">
    <w:pPr>
      <w:pStyle w:val="Nagwek"/>
      <w:pBdr>
        <w:between w:val="single" w:sz="4" w:space="1" w:color="4F81BD"/>
      </w:pBdr>
      <w:spacing w:line="240" w:lineRule="auto"/>
      <w:rPr>
        <w:sz w:val="4"/>
        <w:szCs w:val="4"/>
      </w:rPr>
    </w:pPr>
    <w:r>
      <w:rPr>
        <w:szCs w:val="16"/>
      </w:rPr>
      <w:tab/>
    </w:r>
  </w:p>
  <w:p w:rsidR="00A3310B" w:rsidRPr="00EA7B2A" w:rsidRDefault="007D5CED" w:rsidP="00A3310B">
    <w:pPr>
      <w:pStyle w:val="Nagwek"/>
      <w:rPr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BB1914"/>
    <w:multiLevelType w:val="hybridMultilevel"/>
    <w:tmpl w:val="AF84CF3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F642D6"/>
    <w:multiLevelType w:val="hybridMultilevel"/>
    <w:tmpl w:val="9E083B6C"/>
    <w:lvl w:ilvl="0" w:tplc="04150019">
      <w:start w:val="1"/>
      <w:numFmt w:val="lowerLetter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5CED"/>
    <w:rsid w:val="001C495A"/>
    <w:rsid w:val="007D5C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7F0A5D-802C-49B3-B4CB-3AF4310EDD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D5CED"/>
    <w:pPr>
      <w:spacing w:before="200" w:after="200" w:line="276" w:lineRule="auto"/>
    </w:pPr>
    <w:rPr>
      <w:rFonts w:ascii="Arial" w:eastAsia="Times New Roman" w:hAnsi="Arial" w:cs="Times New Roman"/>
      <w:szCs w:val="20"/>
      <w:lang w:val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7D5CED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spacing w:after="0"/>
      <w:outlineLvl w:val="0"/>
    </w:pPr>
    <w:rPr>
      <w:b/>
      <w:bCs/>
      <w:caps/>
      <w:color w:val="FFFFFF"/>
      <w:spacing w:val="15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D5CED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spacing w:after="0"/>
      <w:outlineLvl w:val="1"/>
    </w:pPr>
    <w:rPr>
      <w:caps/>
      <w:spacing w:val="15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D5CED"/>
    <w:rPr>
      <w:rFonts w:ascii="Arial" w:eastAsia="Times New Roman" w:hAnsi="Arial" w:cs="Times New Roman"/>
      <w:b/>
      <w:bCs/>
      <w:caps/>
      <w:color w:val="FFFFFF"/>
      <w:spacing w:val="15"/>
      <w:szCs w:val="20"/>
      <w:shd w:val="clear" w:color="auto" w:fill="4F81BD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7D5CED"/>
    <w:rPr>
      <w:rFonts w:ascii="Arial" w:eastAsia="Times New Roman" w:hAnsi="Arial" w:cs="Times New Roman"/>
      <w:caps/>
      <w:spacing w:val="15"/>
      <w:szCs w:val="20"/>
      <w:shd w:val="clear" w:color="auto" w:fill="DBE5F1"/>
      <w:lang w:eastAsia="pl-PL"/>
    </w:rPr>
  </w:style>
  <w:style w:type="character" w:customStyle="1" w:styleId="redniecieniowanie1akcent1Znak">
    <w:name w:val="Średnie cieniowanie 1 — akcent 1 Znak"/>
    <w:link w:val="redniecieniowanie1akcent1"/>
    <w:uiPriority w:val="1"/>
    <w:rsid w:val="007D5CED"/>
    <w:rPr>
      <w:rFonts w:ascii="Arial" w:eastAsia="Calibri" w:hAnsi="Arial" w:cs="Times New Roman"/>
      <w:sz w:val="22"/>
      <w:lang w:val="en-US" w:eastAsia="en-US" w:bidi="en-US"/>
    </w:rPr>
  </w:style>
  <w:style w:type="paragraph" w:styleId="Spistreci1">
    <w:name w:val="toc 1"/>
    <w:basedOn w:val="Normalny"/>
    <w:next w:val="Normalny"/>
    <w:autoRedefine/>
    <w:uiPriority w:val="39"/>
    <w:unhideWhenUsed/>
    <w:qFormat/>
    <w:rsid w:val="007D5CED"/>
    <w:pPr>
      <w:tabs>
        <w:tab w:val="right" w:leader="dot" w:pos="9345"/>
      </w:tabs>
    </w:pPr>
    <w:rPr>
      <w:b/>
      <w:caps/>
      <w:noProof/>
    </w:rPr>
  </w:style>
  <w:style w:type="paragraph" w:styleId="Spistreci2">
    <w:name w:val="toc 2"/>
    <w:basedOn w:val="Normalny"/>
    <w:next w:val="Normalny"/>
    <w:autoRedefine/>
    <w:uiPriority w:val="39"/>
    <w:unhideWhenUsed/>
    <w:qFormat/>
    <w:rsid w:val="007D5CED"/>
    <w:pPr>
      <w:ind w:left="220"/>
    </w:pPr>
    <w:rPr>
      <w:i/>
      <w:smallCaps/>
    </w:rPr>
  </w:style>
  <w:style w:type="paragraph" w:styleId="Nagwek">
    <w:name w:val="header"/>
    <w:basedOn w:val="Normalny"/>
    <w:link w:val="NagwekZnak"/>
    <w:uiPriority w:val="99"/>
    <w:qFormat/>
    <w:rsid w:val="007D5CED"/>
    <w:pPr>
      <w:tabs>
        <w:tab w:val="center" w:pos="4536"/>
        <w:tab w:val="right" w:pos="9072"/>
      </w:tabs>
      <w:spacing w:before="0" w:after="0"/>
      <w:jc w:val="both"/>
    </w:pPr>
    <w:rPr>
      <w:sz w:val="16"/>
      <w:lang w:val="pl-PL"/>
    </w:rPr>
  </w:style>
  <w:style w:type="character" w:customStyle="1" w:styleId="NagwekZnak">
    <w:name w:val="Nagłówek Znak"/>
    <w:basedOn w:val="Domylnaczcionkaakapitu"/>
    <w:link w:val="Nagwek"/>
    <w:uiPriority w:val="99"/>
    <w:rsid w:val="007D5CED"/>
    <w:rPr>
      <w:rFonts w:ascii="Arial" w:eastAsia="Times New Roman" w:hAnsi="Arial" w:cs="Times New Roman"/>
      <w:sz w:val="16"/>
      <w:szCs w:val="20"/>
      <w:lang w:bidi="en-US"/>
    </w:rPr>
  </w:style>
  <w:style w:type="character" w:styleId="Numerstrony">
    <w:name w:val="page number"/>
    <w:rsid w:val="007D5CED"/>
    <w:rPr>
      <w:rFonts w:ascii="Times New Roman" w:hAnsi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7D5CED"/>
    <w:pPr>
      <w:widowControl w:val="0"/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D5CED"/>
    <w:rPr>
      <w:rFonts w:ascii="Arial" w:eastAsia="Times New Roman" w:hAnsi="Arial" w:cs="Times New Roman"/>
      <w:szCs w:val="20"/>
      <w:lang w:val="en-US" w:bidi="en-US"/>
    </w:rPr>
  </w:style>
  <w:style w:type="paragraph" w:styleId="Tytu">
    <w:name w:val="Title"/>
    <w:basedOn w:val="Normalny"/>
    <w:next w:val="Normalny"/>
    <w:link w:val="TytuZnak"/>
    <w:uiPriority w:val="10"/>
    <w:qFormat/>
    <w:rsid w:val="007D5CED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7D5CED"/>
    <w:rPr>
      <w:rFonts w:ascii="Arial" w:eastAsia="Times New Roman" w:hAnsi="Arial" w:cs="Times New Roman"/>
      <w:caps/>
      <w:color w:val="4F81BD"/>
      <w:spacing w:val="10"/>
      <w:kern w:val="28"/>
      <w:sz w:val="52"/>
      <w:szCs w:val="52"/>
      <w:lang w:val="en-US" w:bidi="en-US"/>
    </w:rPr>
  </w:style>
  <w:style w:type="character" w:styleId="Hipercze">
    <w:name w:val="Hyperlink"/>
    <w:uiPriority w:val="99"/>
    <w:rsid w:val="007D5CED"/>
    <w:rPr>
      <w:color w:val="0000FF"/>
      <w:u w:val="singl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D5CED"/>
    <w:pPr>
      <w:outlineLvl w:val="9"/>
    </w:pPr>
    <w:rPr>
      <w:szCs w:val="22"/>
      <w:lang w:val="en-US" w:eastAsia="en-US" w:bidi="en-US"/>
    </w:rPr>
  </w:style>
  <w:style w:type="table" w:styleId="redniecieniowanie1akcent1">
    <w:name w:val="Medium Shading 1 Accent 1"/>
    <w:basedOn w:val="Standardowy"/>
    <w:link w:val="redniecieniowanie1akcent1Znak"/>
    <w:uiPriority w:val="1"/>
    <w:semiHidden/>
    <w:unhideWhenUsed/>
    <w:rsid w:val="007D5CED"/>
    <w:pPr>
      <w:spacing w:after="0" w:line="240" w:lineRule="auto"/>
    </w:pPr>
    <w:rPr>
      <w:rFonts w:ascii="Arial" w:eastAsia="Calibri" w:hAnsi="Arial" w:cs="Times New Roman"/>
      <w:lang w:val="en-US" w:bidi="en-US"/>
    </w:r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1081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Czajkowski</dc:creator>
  <cp:keywords/>
  <dc:description/>
  <cp:lastModifiedBy>Adam Czajkowski</cp:lastModifiedBy>
  <cp:revision>1</cp:revision>
  <dcterms:created xsi:type="dcterms:W3CDTF">2016-08-30T09:33:00Z</dcterms:created>
  <dcterms:modified xsi:type="dcterms:W3CDTF">2016-08-30T09:35:00Z</dcterms:modified>
</cp:coreProperties>
</file>