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rPr>
          <w:rFonts w:ascii="Arial" w:eastAsia="Times New Roman" w:hAnsi="Arial" w:cs="Times New Roman"/>
          <w:b/>
          <w:bCs/>
          <w:caps/>
          <w:color w:val="FFFFFF"/>
          <w:spacing w:val="15"/>
          <w:lang w:bidi="en-US"/>
        </w:rPr>
      </w:pPr>
      <w:bookmarkStart w:id="0" w:name="_Toc114991974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lang w:bidi="en-US"/>
        </w:rPr>
        <w:t>Spis treści</w:t>
      </w:r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r w:rsidRPr="00CE5F03">
        <w:rPr>
          <w:rFonts w:ascii="Arial" w:eastAsia="Times New Roman" w:hAnsi="Arial" w:cs="Times New Roman"/>
          <w:b/>
          <w:caps/>
          <w:noProof/>
          <w:szCs w:val="20"/>
          <w:lang w:bidi="en-US"/>
        </w:rPr>
        <w:fldChar w:fldCharType="begin"/>
      </w:r>
      <w:r w:rsidRPr="00CE5F03">
        <w:rPr>
          <w:rFonts w:ascii="Arial" w:eastAsia="Times New Roman" w:hAnsi="Arial" w:cs="Times New Roman"/>
          <w:b/>
          <w:caps/>
          <w:noProof/>
          <w:szCs w:val="20"/>
          <w:lang w:bidi="en-US"/>
        </w:rPr>
        <w:instrText xml:space="preserve"> TOC \o "1-3" \h \z \u </w:instrText>
      </w:r>
      <w:r w:rsidRPr="00CE5F03">
        <w:rPr>
          <w:rFonts w:ascii="Arial" w:eastAsia="Times New Roman" w:hAnsi="Arial" w:cs="Times New Roman"/>
          <w:b/>
          <w:caps/>
          <w:noProof/>
          <w:szCs w:val="20"/>
          <w:lang w:bidi="en-US"/>
        </w:rPr>
        <w:fldChar w:fldCharType="separate"/>
      </w:r>
      <w:hyperlink w:anchor="_Toc460319738" w:history="1">
        <w:r w:rsidRPr="00CE5F03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WSTĘP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_Toc460319738 \h </w:instrTex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33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39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Przedmiot Specyfikacji Technicznej (SST)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_Toc460319739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33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40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Zakres stosowania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_Toc460319740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33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41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Zakres robót objętych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_Toc460319741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33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42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Odtworzenie trasy i punktów wysokościowych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_Toc460319742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33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43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Określenia podstawowe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_Toc460319743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33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  <w:bookmarkStart w:id="1" w:name="_GoBack"/>
      <w:bookmarkEnd w:id="1"/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44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wymagania dotyczące robót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_Toc460319744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34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460319745" w:history="1">
        <w:r w:rsidRPr="00CE5F03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MATERIAŁY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_Toc460319745 \h </w:instrTex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34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46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wymagania dotyczące materiałów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_Toc460319746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34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47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Rodzaje materiałów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_Toc460319747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34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460319748" w:history="1">
        <w:r w:rsidRPr="00CE5F03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SPRZĘT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_Toc460319748 \h </w:instrTex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34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460319749" w:history="1">
        <w:r w:rsidRPr="00CE5F03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TRANSPORT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_Toc460319749 \h </w:instrTex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35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50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wymagania dotyczące transportu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_Toc460319750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35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460319751" w:history="1">
        <w:r w:rsidRPr="00CE5F03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WYKONANIE ROBÓT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_Toc460319751 \h </w:instrTex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35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52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zasady wykonywania robót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_Toc460319752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35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53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Zasady wykonywania prac pomiarowych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_Toc460319753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35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54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Sprawdzenie wyznaczenia punktów głównych osi trasy i punktów wysokościowych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_Toc460319754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36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55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Odtworzenie osi trasy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_Toc460319755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36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460319756" w:history="1">
        <w:r w:rsidRPr="00CE5F03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KONTROLA JAKOŚCI ROBÓT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_Toc460319756 \h </w:instrTex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36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57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zasady kontroli jakości robót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_Toc460319757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36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58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Kontrola jakości prac pomiarowych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_Toc460319758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37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460319759" w:history="1">
        <w:r w:rsidRPr="00CE5F03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ODBIÓR ROBÓT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_Toc460319759 \h </w:instrTex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37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60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zasady odbioru robót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_Toc460319760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37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460319761" w:history="1">
        <w:r w:rsidRPr="00CE5F03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Sposób odbioru robót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_Toc460319761 \h </w:instrTex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37</w:t>
        </w:r>
        <w:r w:rsidRPr="00CE5F03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460319762" w:history="1">
        <w:r w:rsidRPr="00CE5F03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PRZEPISY ZWIĄZANE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_Toc460319762 \h </w:instrTex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37</w:t>
        </w:r>
        <w:r w:rsidRPr="00CE5F03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fldChar w:fldCharType="end"/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</w:p>
    <w:p w:rsidR="00CE5F03" w:rsidRPr="00CE5F03" w:rsidRDefault="00CE5F03" w:rsidP="00CE5F03">
      <w:pPr>
        <w:spacing w:before="720" w:after="200" w:line="276" w:lineRule="auto"/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</w:pPr>
      <w:bookmarkStart w:id="2" w:name="_Toc147211602"/>
      <w:bookmarkStart w:id="3" w:name="_Toc236469969"/>
      <w:r w:rsidRPr="00CE5F03"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  <w:br w:type="page"/>
      </w:r>
      <w:r w:rsidRPr="00CE5F03"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  <w:lastRenderedPageBreak/>
        <w:t xml:space="preserve">ST 01 </w:t>
      </w:r>
      <w:r w:rsidRPr="00CE5F03"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  <w:tab/>
        <w:t xml:space="preserve">ROBOTY </w:t>
      </w:r>
      <w:bookmarkEnd w:id="0"/>
      <w:r w:rsidRPr="00CE5F03"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  <w:t>POMIAROWE I PRACE GEODEZYJNE</w:t>
      </w:r>
      <w:bookmarkEnd w:id="2"/>
      <w:bookmarkEnd w:id="3"/>
    </w:p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4" w:name="_Toc147211603"/>
      <w:bookmarkStart w:id="5" w:name="_Toc236469970"/>
      <w:bookmarkStart w:id="6" w:name="_Toc460319738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WSTĘP</w:t>
      </w:r>
      <w:bookmarkEnd w:id="4"/>
      <w:bookmarkEnd w:id="5"/>
      <w:bookmarkEnd w:id="6"/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7" w:name="_Toc147211604"/>
      <w:bookmarkStart w:id="8" w:name="_Toc236469971"/>
      <w:bookmarkStart w:id="9" w:name="_Toc460319739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Przedmiot Specyfikacji Technicznej (SST)</w:t>
      </w:r>
      <w:bookmarkEnd w:id="7"/>
      <w:bookmarkEnd w:id="8"/>
      <w:bookmarkEnd w:id="9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Specyfikacja Techniczna ST-01. – Roboty Pomiarowe i Prace Geodezyjne odnosi się do wymagań wspólnych dla poszczególnych specyfikacji wykonania i odbioru robót.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10" w:name="_Toc147211605"/>
      <w:bookmarkStart w:id="11" w:name="_Toc236469972"/>
      <w:bookmarkStart w:id="12" w:name="_Toc460319740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Zakres stosowania</w:t>
      </w:r>
      <w:bookmarkEnd w:id="10"/>
      <w:bookmarkEnd w:id="11"/>
      <w:bookmarkEnd w:id="12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bookmarkStart w:id="13" w:name="_Toc147211606"/>
      <w:bookmarkStart w:id="14" w:name="_Toc236469973"/>
      <w:r w:rsidRPr="00CE5F03">
        <w:rPr>
          <w:rFonts w:ascii="Arial" w:eastAsia="Times New Roman" w:hAnsi="Arial" w:cs="Times New Roman"/>
          <w:szCs w:val="20"/>
          <w:lang w:bidi="en-US"/>
        </w:rPr>
        <w:t>Specyfikacje Techniczną jako część Dokumentów Przetargowych i Umowy, należy odczytywać I rozumieć w odniesieniu do zakresu robót przedstawionego poniżej.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15" w:name="_Toc460319741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Zakres robót objętych</w:t>
      </w:r>
      <w:bookmarkEnd w:id="13"/>
      <w:bookmarkEnd w:id="14"/>
      <w:bookmarkEnd w:id="15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Ustalenia zawarte w niniejszej specyfikacji dotyczą zasad prowadzenia robót związanych z wszystkimi czynnościami umożliwiającymi i mającymi na celu wytyczenie w terenie przebiegu trasy kanalizacji sanitarnej oraz położenia obiektów.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16" w:name="_Toc57284760"/>
      <w:bookmarkStart w:id="17" w:name="_Toc147211607"/>
      <w:bookmarkStart w:id="18" w:name="_Toc236469974"/>
      <w:bookmarkStart w:id="19" w:name="_Toc460319742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Odtworzenie trasy i punktów wysokościowych</w:t>
      </w:r>
      <w:bookmarkEnd w:id="17"/>
      <w:bookmarkEnd w:id="18"/>
      <w:bookmarkEnd w:id="19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W zakresie robót pomiarowych związanych z odtworzeniem trasy i punktów wysokościowych wchodzą:</w:t>
      </w:r>
    </w:p>
    <w:p w:rsidR="00CE5F03" w:rsidRPr="00CE5F03" w:rsidRDefault="00CE5F03" w:rsidP="00CE5F03">
      <w:pPr>
        <w:numPr>
          <w:ilvl w:val="0"/>
          <w:numId w:val="1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CE5F03">
        <w:rPr>
          <w:rFonts w:ascii="Arial" w:eastAsia="Calibri" w:hAnsi="Arial" w:cs="Times New Roman"/>
          <w:szCs w:val="20"/>
          <w:lang w:bidi="en-US"/>
        </w:rPr>
        <w:t>sprawdzenie wyznaczenia sytuacyjnego i wysokościowego punktów głównych osi trasy punktów wysokościowych,</w:t>
      </w:r>
    </w:p>
    <w:p w:rsidR="00CE5F03" w:rsidRPr="00CE5F03" w:rsidRDefault="00CE5F03" w:rsidP="00CE5F03">
      <w:pPr>
        <w:numPr>
          <w:ilvl w:val="0"/>
          <w:numId w:val="1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CE5F03">
        <w:rPr>
          <w:rFonts w:ascii="Arial" w:eastAsia="Calibri" w:hAnsi="Arial" w:cs="Times New Roman"/>
          <w:szCs w:val="20"/>
          <w:lang w:bidi="en-US"/>
        </w:rPr>
        <w:t>uzupełnienie osi trasy dodatkowymi punktami (wyznaczenie osi),</w:t>
      </w:r>
    </w:p>
    <w:p w:rsidR="00CE5F03" w:rsidRPr="00CE5F03" w:rsidRDefault="00CE5F03" w:rsidP="00CE5F03">
      <w:pPr>
        <w:numPr>
          <w:ilvl w:val="0"/>
          <w:numId w:val="1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CE5F03">
        <w:rPr>
          <w:rFonts w:ascii="Arial" w:eastAsia="Calibri" w:hAnsi="Arial" w:cs="Times New Roman"/>
          <w:szCs w:val="20"/>
          <w:lang w:bidi="en-US"/>
        </w:rPr>
        <w:t>wyznaczenie dodatkowych punktów wysokościowych (reperów roboczych),</w:t>
      </w:r>
    </w:p>
    <w:p w:rsidR="00CE5F03" w:rsidRPr="00CE5F03" w:rsidRDefault="00CE5F03" w:rsidP="00CE5F03">
      <w:pPr>
        <w:numPr>
          <w:ilvl w:val="0"/>
          <w:numId w:val="1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CE5F03">
        <w:rPr>
          <w:rFonts w:ascii="Arial" w:eastAsia="Calibri" w:hAnsi="Arial" w:cs="Times New Roman"/>
          <w:szCs w:val="20"/>
          <w:lang w:bidi="en-US"/>
        </w:rPr>
        <w:t>wyznaczenie przekrojów poprzecznych,</w:t>
      </w:r>
    </w:p>
    <w:p w:rsidR="00CE5F03" w:rsidRPr="00CE5F03" w:rsidRDefault="00CE5F03" w:rsidP="00CE5F03">
      <w:pPr>
        <w:numPr>
          <w:ilvl w:val="0"/>
          <w:numId w:val="1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CE5F03">
        <w:rPr>
          <w:rFonts w:ascii="Arial" w:eastAsia="Calibri" w:hAnsi="Arial" w:cs="Times New Roman"/>
          <w:szCs w:val="20"/>
          <w:lang w:bidi="en-US"/>
        </w:rPr>
        <w:t>zastabilizowanie punków w sposób trwały, ochrona ich przed zniszczeniem oraz oznakowanie w sposób ułatwiający odszukanie i ewentualne odtworzenie.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20" w:name="_Toc147211608"/>
      <w:bookmarkStart w:id="21" w:name="_Toc236469975"/>
      <w:bookmarkStart w:id="22" w:name="_Toc460319743"/>
      <w:bookmarkEnd w:id="16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Określenia podstawowe</w:t>
      </w:r>
      <w:bookmarkEnd w:id="20"/>
      <w:bookmarkEnd w:id="21"/>
      <w:bookmarkEnd w:id="22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Określenia podane w niniejszej SST są zgodne z obowiązującymi odpowiednimi Normami Technicznymi (PN i EN-PN), Warunkami Technicznymi Wykonania i Odbioru Robót (WTWOR) i postanowieniami Umowy.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Użyte w SST wymienione poniżej określenia należy rozumieć w każdym przypadku następująco:</w:t>
      </w:r>
    </w:p>
    <w:p w:rsidR="00CE5F03" w:rsidRPr="00CE5F03" w:rsidRDefault="00CE5F03" w:rsidP="00CE5F03">
      <w:pPr>
        <w:numPr>
          <w:ilvl w:val="0"/>
          <w:numId w:val="2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b/>
          <w:szCs w:val="20"/>
          <w:lang w:bidi="en-US"/>
        </w:rPr>
        <w:t>Punkty główne trasy</w:t>
      </w:r>
      <w:r w:rsidRPr="00CE5F03">
        <w:rPr>
          <w:rFonts w:ascii="Arial" w:eastAsia="Times New Roman" w:hAnsi="Arial" w:cs="Times New Roman"/>
          <w:szCs w:val="20"/>
          <w:lang w:bidi="en-US"/>
        </w:rPr>
        <w:t xml:space="preserve"> – punkty załamania osi trasy, punkty kierunkowe oraz początkowy i końcowy punkt trasy. 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lastRenderedPageBreak/>
        <w:t>Pozostałe określenia podstawowe są zgodne z obowiązującymi, odpowiednimi polskimi normami i z definicjami zawartymi w ST-00 „Wymagania ogólne” pkt 1.4.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23" w:name="_Toc147211609"/>
      <w:bookmarkStart w:id="24" w:name="_Toc236469976"/>
      <w:bookmarkStart w:id="25" w:name="_Toc460319744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wymagania dotyczące robót</w:t>
      </w:r>
      <w:bookmarkEnd w:id="23"/>
      <w:bookmarkEnd w:id="24"/>
      <w:bookmarkEnd w:id="25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Ogólne wymagania dotyczące robót podano w ST-00 „Wymagania ogólne” pkt 1.5.</w:t>
      </w:r>
    </w:p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26" w:name="_Toc114992944"/>
      <w:bookmarkStart w:id="27" w:name="_Toc147211610"/>
      <w:bookmarkStart w:id="28" w:name="_Toc236469977"/>
      <w:bookmarkStart w:id="29" w:name="_Toc460319745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MATERIAŁY</w:t>
      </w:r>
      <w:bookmarkEnd w:id="26"/>
      <w:bookmarkEnd w:id="27"/>
      <w:bookmarkEnd w:id="28"/>
      <w:bookmarkEnd w:id="29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 xml:space="preserve"> 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30" w:name="_Toc147211611"/>
      <w:bookmarkStart w:id="31" w:name="_Toc236469978"/>
      <w:bookmarkStart w:id="32" w:name="_Toc460319746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wymagania dotyczące materiałów</w:t>
      </w:r>
      <w:bookmarkEnd w:id="30"/>
      <w:bookmarkEnd w:id="31"/>
      <w:bookmarkEnd w:id="32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 xml:space="preserve">Ogólne wymagania dotyczące materiałów, ich pozyskania i składowania podano </w:t>
      </w:r>
      <w:r w:rsidRPr="00CE5F03">
        <w:rPr>
          <w:rFonts w:ascii="Arial" w:eastAsia="Times New Roman" w:hAnsi="Arial" w:cs="Times New Roman"/>
          <w:szCs w:val="20"/>
          <w:lang w:bidi="en-US"/>
        </w:rPr>
        <w:br/>
        <w:t>w ST-00 „Wymagania ogólne” pkt 2.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33" w:name="_Toc147211612"/>
      <w:bookmarkStart w:id="34" w:name="_Toc236469979"/>
      <w:bookmarkStart w:id="35" w:name="_Toc460319747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Rodzaje materiałów</w:t>
      </w:r>
      <w:bookmarkEnd w:id="33"/>
      <w:bookmarkEnd w:id="34"/>
      <w:bookmarkEnd w:id="35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ab/>
        <w:t xml:space="preserve">Do utrwalenia głównych punktów trasy należy stosować pale drewniane z gwoździem lub prętem stalowym, słupki betonowe albo rury metalowe o długości około 0,50 m. Pale drewniane umieszczone poza granicą robót ziemnych w sąsiedztwie punktów załamania trasy, powinny mieć średnicę od 0,15÷0,20 m i długości od 1,5÷1,7 m. 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 xml:space="preserve">Do stabilizacji pozostałych punktów utrwalanych w nawierzchni bolce stalowe o średnicy </w:t>
      </w:r>
      <w:r w:rsidRPr="00CE5F03">
        <w:rPr>
          <w:rFonts w:ascii="Arial" w:eastAsia="Times New Roman" w:hAnsi="Arial" w:cs="Times New Roman"/>
          <w:szCs w:val="20"/>
          <w:lang w:bidi="en-US"/>
        </w:rPr>
        <w:br/>
        <w:t>5 mm i długości od 0,04÷0,05 m.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„Świadki” powinny mieć długość około 0,50 m i przekrój prostokątny.</w:t>
      </w:r>
    </w:p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36" w:name="_Toc147211613"/>
      <w:bookmarkStart w:id="37" w:name="_Toc236469980"/>
      <w:bookmarkStart w:id="38" w:name="_Toc460319748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SPRZĘT</w:t>
      </w:r>
      <w:bookmarkEnd w:id="36"/>
      <w:bookmarkEnd w:id="37"/>
      <w:bookmarkEnd w:id="38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Do odtworzenia sytuacyjnej trasy i punktów wysokościowych należy stosować następujący sprzęt:</w:t>
      </w:r>
    </w:p>
    <w:p w:rsidR="00CE5F03" w:rsidRPr="00CE5F03" w:rsidRDefault="00CE5F03" w:rsidP="00CE5F03">
      <w:pPr>
        <w:numPr>
          <w:ilvl w:val="0"/>
          <w:numId w:val="3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CE5F03">
        <w:rPr>
          <w:rFonts w:ascii="Arial" w:eastAsia="Calibri" w:hAnsi="Arial" w:cs="Times New Roman"/>
          <w:szCs w:val="20"/>
          <w:lang w:bidi="en-US"/>
        </w:rPr>
        <w:t>teodolity lub tachimetry,</w:t>
      </w:r>
    </w:p>
    <w:p w:rsidR="00CE5F03" w:rsidRPr="00CE5F03" w:rsidRDefault="00CE5F03" w:rsidP="00CE5F03">
      <w:pPr>
        <w:numPr>
          <w:ilvl w:val="0"/>
          <w:numId w:val="3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CE5F03">
        <w:rPr>
          <w:rFonts w:ascii="Arial" w:eastAsia="Calibri" w:hAnsi="Arial" w:cs="Times New Roman"/>
          <w:szCs w:val="20"/>
          <w:lang w:bidi="en-US"/>
        </w:rPr>
        <w:t>niwelatory, dalmierze, tyczki,</w:t>
      </w:r>
    </w:p>
    <w:p w:rsidR="00CE5F03" w:rsidRPr="00CE5F03" w:rsidRDefault="00CE5F03" w:rsidP="00CE5F03">
      <w:pPr>
        <w:numPr>
          <w:ilvl w:val="0"/>
          <w:numId w:val="3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CE5F03">
        <w:rPr>
          <w:rFonts w:ascii="Arial" w:eastAsia="Calibri" w:hAnsi="Arial" w:cs="Times New Roman"/>
          <w:szCs w:val="20"/>
          <w:lang w:bidi="en-US"/>
        </w:rPr>
        <w:t>łaty, taśmy stalowe, szpilki.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Sprzęt stosowany do odtworzenia trasy i jej punktów wysokościowych powinien gwarantować uzyskanie wymaganej dokładności pomiaru.</w:t>
      </w:r>
    </w:p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39" w:name="_Toc147211614"/>
      <w:bookmarkStart w:id="40" w:name="_Toc236469981"/>
      <w:bookmarkStart w:id="41" w:name="_Toc460319749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TRANSPORT</w:t>
      </w:r>
      <w:bookmarkEnd w:id="39"/>
      <w:bookmarkEnd w:id="40"/>
      <w:bookmarkEnd w:id="41"/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42" w:name="_Toc147211615"/>
      <w:bookmarkStart w:id="43" w:name="_Toc236469982"/>
      <w:bookmarkStart w:id="44" w:name="_Toc460319750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wymagania dotyczące transportu</w:t>
      </w:r>
      <w:bookmarkEnd w:id="42"/>
      <w:bookmarkEnd w:id="43"/>
      <w:bookmarkEnd w:id="44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Ogólne wymagania dotyczące transportu podano w ST-00 „Wymagania ogólne” pkt 4.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Sprzęt i materiały do odtworzenia trasy można przewozić dowolnymi środkami transportu.</w:t>
      </w:r>
    </w:p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45" w:name="_Toc147211616"/>
      <w:bookmarkStart w:id="46" w:name="_Toc236469983"/>
      <w:bookmarkStart w:id="47" w:name="_Toc460319751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WYKONANIE ROBÓT</w:t>
      </w:r>
      <w:bookmarkEnd w:id="45"/>
      <w:bookmarkEnd w:id="46"/>
      <w:bookmarkEnd w:id="47"/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48" w:name="_Toc147211617"/>
      <w:bookmarkStart w:id="49" w:name="_Toc236469984"/>
      <w:bookmarkStart w:id="50" w:name="_Toc460319752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zasady wykonywania robót</w:t>
      </w:r>
      <w:bookmarkEnd w:id="48"/>
      <w:bookmarkEnd w:id="49"/>
      <w:bookmarkEnd w:id="50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Ogólne wymagania dotyczące transportu podano w ST-00 „Wymagania ogólne” pkt 5.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51" w:name="_Toc147211618"/>
      <w:bookmarkStart w:id="52" w:name="_Toc236469985"/>
      <w:bookmarkStart w:id="53" w:name="_Toc460319753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lastRenderedPageBreak/>
        <w:t>Zasady wykonywania prac pomiarowych</w:t>
      </w:r>
      <w:bookmarkEnd w:id="51"/>
      <w:bookmarkEnd w:id="52"/>
      <w:bookmarkEnd w:id="53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 xml:space="preserve">Prace pomiarowe powinny być wykonywane zgodnie z obowiązującymi instrukcjami GUGiK (od I ÷VII). 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W oparciu o materiały dostarczone przez Zamawiającego, Wykonawca ma przeprowadzić obliczenia i pomiary geodezyjne niezbędne do szczegółowego wytyczenia robót. Prace pomiarowe powinny być wykonane przez osoby posiadające odpowiednie kwalifikacje i uprawnienia.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Wykonawca powinien natychmiast poinformować Inspektora Nadzoru o wszelkich błędach wykrytych w wytyczeniu punktów głównych trasy i (lub) reperów roboczych. Błędy te powinny być usunięte na koszt Wykonawcy.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u w:val="single"/>
          <w:lang w:bidi="en-US"/>
        </w:rPr>
      </w:pPr>
      <w:r w:rsidRPr="00CE5F03">
        <w:rPr>
          <w:rFonts w:ascii="Arial" w:eastAsia="Times New Roman" w:hAnsi="Arial" w:cs="Times New Roman"/>
          <w:szCs w:val="20"/>
          <w:u w:val="single"/>
          <w:lang w:bidi="en-US"/>
        </w:rPr>
        <w:t>Wykonawca powinien sprawdzić czy rzędne terenu określone w dokumentacji projektowej są zgodne z rzeczywistymi rzędnymi terenu.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Wszystkie roboty, które bazują na pomiarach Wykonawcy nie mogą być rozpoczęte przed zaakceptowaniem wyników pomiarów przez Inspektora Nadzoru. Punkty wierzchołkowe, punkty główne trasy i punkty pośrednie osi trasy musza być zaopatrzone w oznaczenia określające w sposób wyraźny i jednoznaczny charakterystykę i położenie tych punktów Nadzoru.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 xml:space="preserve">Wykonawca jest odpowiedzialny za ochronę wszystkich punktów pomiarowych i ich oznaczeń w czasie trwania robót. 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Wszystkie pozostałe prace pomiarowe konieczne do prawidłowej realizacji robót należą do obowiązków Wykonawcy.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54" w:name="_Toc147211619"/>
      <w:bookmarkStart w:id="55" w:name="_Toc236469986"/>
      <w:bookmarkStart w:id="56" w:name="_Toc460319754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Sprawdzenie wyznaczenia punktów głównych osi trasy i punktów wysokościowych</w:t>
      </w:r>
      <w:bookmarkEnd w:id="54"/>
      <w:bookmarkEnd w:id="55"/>
      <w:bookmarkEnd w:id="56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Punkty wierzchołkowe trasy i inne punkty główne powinny być ustabilizowane w sposób trwały, przy użyciu pali drewnianych lub słupków betonowych, a także dowiązane do punktów pomocniczych położonych poza granicą robót ziemnych. Maksymalna odległość pomiędzy punktami głównymi na odcinkach prostych nie może przekraczać 500m.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Maksymalna odległość między reperami roboczymi wzdłuż trasy kanalizacji w terenie płaskim powinna wynosić 500 metrów, natomiast w terenie falistym i górskim powinna być odpowiednio zmniejszona zależnie od jego konfiguracji. Repery robocze należy założyć poza granicami robót związanych z wykonaniem trasy kanalizacji i obiektów towarzyszących. Jako repery robocze można wykorzystać punkty stałe na stabilnych istniejących budowlach wzdłuż trasy kanalizacji. W przypadku braku takich punktów repery robocze należy założyć w postaci słupków betonowych lub grubych kształtowników stalowych, osadzonych w gruncie, w sposób wykluczający osiadanie, zaakceptowany przez Inspektora Nadzoru.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Rzędne reperów roboczych należy określić z taką dokładnością, aby średni błąd niwelacji po wyrównaniu był mniejszy od 4 mm/km, stosując niwelację podwójną w nawiązaniu do reperów państwowych.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 xml:space="preserve">Repery robocze powinny być wyposażone w dodatkowe oznaczenia zawierające wyraźne i jednoznaczne określenie nazwy repera i jego rzędnej. 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57" w:name="_Toc147211620"/>
      <w:bookmarkStart w:id="58" w:name="_Toc236469987"/>
      <w:bookmarkStart w:id="59" w:name="_Toc460319755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Odtworzenie osi trasy</w:t>
      </w:r>
      <w:bookmarkEnd w:id="57"/>
      <w:bookmarkEnd w:id="58"/>
      <w:bookmarkEnd w:id="59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lastRenderedPageBreak/>
        <w:t>Tyczenie osi trasy należy wykonać w oparciu o dokumentację projektową oraz inne dane geodezyjne przekazane przez Zamawiającego, przy wykorzystaniu sieci poligonizacji państwowej albo innej osnowy geodezyjnej określonej w dokumentacji projektowej. Oś trasy powinna być wyznaczona w głównych punktach i w punkach pośrednich w odległości zależnej od charakterystyki terenu i ukształtowania trasy lecz nie rzadziej niż co 50 metrów.</w:t>
      </w:r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Dopuszczalne odchylenie sytuacyjne wytyczonej trasy w stosunku do dokumentacji projektowej nie może być większe niż 5 cm. Rzędne niwelety punktów osi trasy należy wyznaczyć z dokładnością do 1 cm w stosunku do rzędnych niwelety określonych w dokumentacji projektowej. Do utrwalenia osi trasy w terenie należy użyć materiałów wymienionych w pkt 2.2 niniejszej SST. Usunięcie pali z osi trasy jest dopuszczalne tylko wówczas, gdy Wykonawca robót zastąpi je odpowiednimi palami po obu stronach osi umieszczonych poza granicą robót.</w:t>
      </w:r>
    </w:p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60" w:name="_Toc147211621"/>
      <w:bookmarkStart w:id="61" w:name="_Toc236469988"/>
      <w:bookmarkStart w:id="62" w:name="_Toc460319756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KONTROLA JAKOŚCI ROBÓT</w:t>
      </w:r>
      <w:bookmarkEnd w:id="60"/>
      <w:bookmarkEnd w:id="61"/>
      <w:bookmarkEnd w:id="62"/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63" w:name="_Toc147211622"/>
      <w:bookmarkStart w:id="64" w:name="_Toc236469989"/>
      <w:bookmarkStart w:id="65" w:name="_Toc460319757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zasady kontroli jakości robót</w:t>
      </w:r>
      <w:bookmarkEnd w:id="63"/>
      <w:bookmarkEnd w:id="64"/>
      <w:bookmarkEnd w:id="65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Ogólne wymagania dotyczące kontroli jakości robót podano w ST-00 „Wymagania ogólne” pkt 6.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66" w:name="_Toc147211623"/>
      <w:bookmarkStart w:id="67" w:name="_Toc236469990"/>
      <w:bookmarkStart w:id="68" w:name="_Toc460319758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Kontrola jakości prac pomiarowych</w:t>
      </w:r>
      <w:bookmarkEnd w:id="66"/>
      <w:bookmarkEnd w:id="67"/>
      <w:bookmarkEnd w:id="68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Kontrolę jakości prac pomiarowych związanych z odtworzeniem trasy i punktów wysokościowych należy prowadzić według ogólnych zasad określonych w instrukcjach i wytycznych GUGiK (od I÷VII) zgodnie z wymaganiami podanymi w pkt 5.4.</w:t>
      </w:r>
    </w:p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69" w:name="_Toc147211624"/>
      <w:bookmarkStart w:id="70" w:name="_Toc236469991"/>
      <w:bookmarkStart w:id="71" w:name="_Toc460319759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ODBIÓR ROBÓT</w:t>
      </w:r>
      <w:bookmarkEnd w:id="69"/>
      <w:bookmarkEnd w:id="70"/>
      <w:bookmarkEnd w:id="71"/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72" w:name="_Toc147211625"/>
      <w:bookmarkStart w:id="73" w:name="_Toc236469992"/>
      <w:bookmarkStart w:id="74" w:name="_Toc460319760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zasady odbioru robót</w:t>
      </w:r>
      <w:bookmarkEnd w:id="72"/>
      <w:bookmarkEnd w:id="73"/>
      <w:bookmarkEnd w:id="74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Ogólne wymagania dotyczące odbioru robót podano w ST-00 „Wymagania ogólne” pkt 8.</w:t>
      </w:r>
    </w:p>
    <w:p w:rsidR="00CE5F03" w:rsidRPr="00CE5F03" w:rsidRDefault="00CE5F03" w:rsidP="00CE5F03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75" w:name="_Toc147211626"/>
      <w:bookmarkStart w:id="76" w:name="_Toc236469993"/>
      <w:bookmarkStart w:id="77" w:name="_Toc460319761"/>
      <w:r w:rsidRPr="00CE5F03">
        <w:rPr>
          <w:rFonts w:ascii="Arial" w:eastAsia="Times New Roman" w:hAnsi="Arial" w:cs="Times New Roman"/>
          <w:caps/>
          <w:spacing w:val="15"/>
          <w:szCs w:val="20"/>
          <w:lang w:eastAsia="pl-PL"/>
        </w:rPr>
        <w:t>Sposób odbioru robót</w:t>
      </w:r>
      <w:bookmarkEnd w:id="75"/>
      <w:bookmarkEnd w:id="76"/>
      <w:bookmarkEnd w:id="77"/>
    </w:p>
    <w:p w:rsidR="00CE5F03" w:rsidRPr="00CE5F03" w:rsidRDefault="00CE5F03" w:rsidP="00CE5F03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Odbiór robót związanych z odtworzeniem trasy w terenie następuje na podstawie szkiców i dzienników pomiarów geodezyjnych lub protokółu z kontroli geodezyjnej, które Wykonawca przedkłada Inspektorowi Nadzoru.</w:t>
      </w:r>
    </w:p>
    <w:p w:rsidR="00CE5F03" w:rsidRPr="00CE5F03" w:rsidRDefault="00CE5F03" w:rsidP="00CE5F03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78" w:name="_Toc147211627"/>
      <w:bookmarkStart w:id="79" w:name="_Toc236469994"/>
      <w:bookmarkStart w:id="80" w:name="_Toc460319762"/>
      <w:r w:rsidRPr="00CE5F03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PRZEPISY ZWIĄZANE</w:t>
      </w:r>
      <w:bookmarkEnd w:id="78"/>
      <w:bookmarkEnd w:id="79"/>
      <w:bookmarkEnd w:id="80"/>
    </w:p>
    <w:p w:rsidR="00CE5F03" w:rsidRPr="00CE5F03" w:rsidRDefault="00CE5F03" w:rsidP="00CE5F03">
      <w:pPr>
        <w:numPr>
          <w:ilvl w:val="0"/>
          <w:numId w:val="4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Instrukcja techniczna 0-1.</w:t>
      </w:r>
      <w:r w:rsidRPr="00CE5F03">
        <w:rPr>
          <w:rFonts w:ascii="Arial" w:eastAsia="Times New Roman" w:hAnsi="Arial" w:cs="Times New Roman"/>
          <w:szCs w:val="20"/>
          <w:lang w:bidi="en-US"/>
        </w:rPr>
        <w:tab/>
        <w:t>Ogólne zasady wykonywania prac geodezyjnych.</w:t>
      </w:r>
    </w:p>
    <w:p w:rsidR="00CE5F03" w:rsidRPr="00CE5F03" w:rsidRDefault="00CE5F03" w:rsidP="00CE5F03">
      <w:pPr>
        <w:numPr>
          <w:ilvl w:val="0"/>
          <w:numId w:val="4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Instrukcja techniczna 0-3.</w:t>
      </w:r>
      <w:r w:rsidRPr="00CE5F03">
        <w:rPr>
          <w:rFonts w:ascii="Arial" w:eastAsia="Times New Roman" w:hAnsi="Arial" w:cs="Times New Roman"/>
          <w:szCs w:val="20"/>
          <w:lang w:bidi="en-US"/>
        </w:rPr>
        <w:tab/>
        <w:t>Ogólne zasady kompletowania prac geodezyjnych.</w:t>
      </w:r>
    </w:p>
    <w:p w:rsidR="00CE5F03" w:rsidRPr="00CE5F03" w:rsidRDefault="00CE5F03" w:rsidP="00CE5F03">
      <w:pPr>
        <w:numPr>
          <w:ilvl w:val="0"/>
          <w:numId w:val="4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 xml:space="preserve">Instrukcja techniczna G-1. </w:t>
      </w:r>
      <w:r w:rsidRPr="00CE5F03">
        <w:rPr>
          <w:rFonts w:ascii="Arial" w:eastAsia="Times New Roman" w:hAnsi="Arial" w:cs="Times New Roman"/>
          <w:szCs w:val="20"/>
          <w:lang w:bidi="en-US"/>
        </w:rPr>
        <w:tab/>
        <w:t>Geodezyjna osnowa pozioma, GUGiK 1978</w:t>
      </w:r>
    </w:p>
    <w:p w:rsidR="00CE5F03" w:rsidRPr="00CE5F03" w:rsidRDefault="00CE5F03" w:rsidP="00CE5F03">
      <w:pPr>
        <w:numPr>
          <w:ilvl w:val="0"/>
          <w:numId w:val="4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Instrukcja techniczna G-2.</w:t>
      </w:r>
      <w:r w:rsidRPr="00CE5F03">
        <w:rPr>
          <w:rFonts w:ascii="Arial" w:eastAsia="Times New Roman" w:hAnsi="Arial" w:cs="Times New Roman"/>
          <w:szCs w:val="20"/>
          <w:lang w:bidi="en-US"/>
        </w:rPr>
        <w:tab/>
        <w:t>Wysokościowa osnowa geodezyjna, GUGIK.</w:t>
      </w:r>
    </w:p>
    <w:p w:rsidR="00CE5F03" w:rsidRPr="00CE5F03" w:rsidRDefault="00CE5F03" w:rsidP="00CE5F03">
      <w:pPr>
        <w:numPr>
          <w:ilvl w:val="0"/>
          <w:numId w:val="4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Instrukcja techniczna Kg.</w:t>
      </w:r>
      <w:r w:rsidRPr="00CE5F03">
        <w:rPr>
          <w:rFonts w:ascii="Arial" w:eastAsia="Times New Roman" w:hAnsi="Arial" w:cs="Times New Roman"/>
          <w:szCs w:val="20"/>
          <w:lang w:bidi="en-US"/>
        </w:rPr>
        <w:tab/>
        <w:t>Geodezyjna obsługa inwestycji, GUGIK.</w:t>
      </w:r>
    </w:p>
    <w:p w:rsidR="00CE5F03" w:rsidRPr="00CE5F03" w:rsidRDefault="00CE5F03" w:rsidP="00CE5F03">
      <w:pPr>
        <w:numPr>
          <w:ilvl w:val="0"/>
          <w:numId w:val="4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>Instrukcja techniczna G-4.</w:t>
      </w:r>
      <w:r w:rsidRPr="00CE5F03">
        <w:rPr>
          <w:rFonts w:ascii="Arial" w:eastAsia="Times New Roman" w:hAnsi="Arial" w:cs="Times New Roman"/>
          <w:szCs w:val="20"/>
          <w:lang w:bidi="en-US"/>
        </w:rPr>
        <w:tab/>
        <w:t>Pomiary sytuacyjne i wysokościowe, GUGIK.</w:t>
      </w:r>
    </w:p>
    <w:p w:rsidR="00CE5F03" w:rsidRPr="00CE5F03" w:rsidRDefault="00CE5F03" w:rsidP="00CE5F03">
      <w:pPr>
        <w:numPr>
          <w:ilvl w:val="0"/>
          <w:numId w:val="4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t xml:space="preserve">Wytyczne techniczne G-3.1. </w:t>
      </w:r>
      <w:r w:rsidRPr="00CE5F03">
        <w:rPr>
          <w:rFonts w:ascii="Arial" w:eastAsia="Times New Roman" w:hAnsi="Arial" w:cs="Times New Roman"/>
          <w:szCs w:val="20"/>
          <w:lang w:bidi="en-US"/>
        </w:rPr>
        <w:tab/>
        <w:t>Osnowy realizacyjne, GUGiK 1983</w:t>
      </w:r>
    </w:p>
    <w:p w:rsidR="00CE5F03" w:rsidRPr="00CE5F03" w:rsidRDefault="00CE5F03" w:rsidP="00CE5F03">
      <w:pPr>
        <w:numPr>
          <w:ilvl w:val="0"/>
          <w:numId w:val="4"/>
        </w:num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CE5F03">
        <w:rPr>
          <w:rFonts w:ascii="Arial" w:eastAsia="Times New Roman" w:hAnsi="Arial" w:cs="Times New Roman"/>
          <w:szCs w:val="20"/>
          <w:lang w:bidi="en-US"/>
        </w:rPr>
        <w:lastRenderedPageBreak/>
        <w:t>Wytyczne techniczne G-3.2.</w:t>
      </w:r>
      <w:r w:rsidRPr="00CE5F03">
        <w:rPr>
          <w:rFonts w:ascii="Arial" w:eastAsia="Times New Roman" w:hAnsi="Arial" w:cs="Times New Roman"/>
          <w:szCs w:val="20"/>
          <w:lang w:bidi="en-US"/>
        </w:rPr>
        <w:tab/>
        <w:t>Pomiary realizacyjne, GUGiK 1983.</w:t>
      </w:r>
    </w:p>
    <w:p w:rsidR="001C495A" w:rsidRDefault="001C495A"/>
    <w:sectPr w:rsidR="001C495A" w:rsidSect="00973CCE">
      <w:headerReference w:type="default" r:id="rId5"/>
      <w:footerReference w:type="even" r:id="rId6"/>
      <w:footerReference w:type="default" r:id="rId7"/>
      <w:pgSz w:w="11907" w:h="16840" w:code="9"/>
      <w:pgMar w:top="567" w:right="851" w:bottom="737" w:left="1134" w:header="567" w:footer="737" w:gutter="567"/>
      <w:pgNumType w:start="31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3A1" w:rsidRDefault="00CE5F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73A1" w:rsidRDefault="00CE5F0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FDD" w:rsidRDefault="00CE5F03">
    <w:pPr>
      <w:pStyle w:val="Stopka"/>
      <w:jc w:val="center"/>
    </w:pPr>
    <w:r>
      <w:fldChar w:fldCharType="begin"/>
    </w:r>
    <w:r>
      <w:instrText xml:space="preserve">PAGE  </w:instrText>
    </w:r>
    <w:r>
      <w:instrText xml:space="preserve"> \* MERGEFORMAT</w:instrText>
    </w:r>
    <w:r>
      <w:fldChar w:fldCharType="separate"/>
    </w:r>
    <w:r>
      <w:rPr>
        <w:noProof/>
      </w:rPr>
      <w:t>32</w:t>
    </w:r>
    <w:r>
      <w:fldChar w:fldCharType="end"/>
    </w:r>
  </w:p>
  <w:p w:rsidR="009673A1" w:rsidRPr="004B2ACC" w:rsidRDefault="00CE5F03" w:rsidP="00D75FE8">
    <w:pPr>
      <w:pStyle w:val="Stopka"/>
      <w:pBdr>
        <w:top w:val="single" w:sz="4" w:space="1" w:color="A5A5A5"/>
      </w:pBdr>
      <w:tabs>
        <w:tab w:val="clear" w:pos="4536"/>
        <w:tab w:val="clear" w:pos="9072"/>
        <w:tab w:val="center" w:pos="4677"/>
      </w:tabs>
      <w:rPr>
        <w:color w:val="7F7F7F"/>
        <w:sz w:val="16"/>
        <w:szCs w:val="1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FDD" w:rsidRPr="00862FDD" w:rsidRDefault="00CE5F03" w:rsidP="00862FDD">
    <w:pPr>
      <w:pBdr>
        <w:bottom w:val="single" w:sz="4" w:space="1" w:color="auto"/>
      </w:pBdr>
      <w:tabs>
        <w:tab w:val="center" w:pos="4536"/>
        <w:tab w:val="right" w:pos="9072"/>
      </w:tabs>
      <w:spacing w:after="0"/>
      <w:jc w:val="right"/>
      <w:rPr>
        <w:b/>
      </w:rPr>
    </w:pPr>
    <w:r w:rsidRPr="00862FDD">
      <w:rPr>
        <w:b/>
      </w:rPr>
      <w:t>PW-K „LEGIONOWO”</w:t>
    </w:r>
  </w:p>
  <w:p w:rsidR="009673A1" w:rsidRPr="00392762" w:rsidRDefault="00CE5F03" w:rsidP="006B6FC1">
    <w:pPr>
      <w:pStyle w:val="Nagwek"/>
      <w:pBdr>
        <w:between w:val="single" w:sz="4" w:space="1" w:color="4F81BD"/>
      </w:pBdr>
      <w:jc w:val="both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2056"/>
    <w:multiLevelType w:val="hybridMultilevel"/>
    <w:tmpl w:val="5C4E90AA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BD579C"/>
    <w:multiLevelType w:val="hybridMultilevel"/>
    <w:tmpl w:val="89B08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21281"/>
    <w:multiLevelType w:val="hybridMultilevel"/>
    <w:tmpl w:val="03565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C51A9"/>
    <w:multiLevelType w:val="hybridMultilevel"/>
    <w:tmpl w:val="F8765360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03"/>
    <w:rsid w:val="001C495A"/>
    <w:rsid w:val="00C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4E7D7-BEAA-458D-A809-7889F0C5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E5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5F03"/>
  </w:style>
  <w:style w:type="paragraph" w:styleId="Stopka">
    <w:name w:val="footer"/>
    <w:basedOn w:val="Normalny"/>
    <w:link w:val="StopkaZnak"/>
    <w:uiPriority w:val="99"/>
    <w:semiHidden/>
    <w:unhideWhenUsed/>
    <w:rsid w:val="00CE5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5F03"/>
  </w:style>
  <w:style w:type="character" w:styleId="Numerstrony">
    <w:name w:val="page number"/>
    <w:rsid w:val="00CE5F03"/>
    <w:rPr>
      <w:rFonts w:ascii="Times New Roman" w:hAnsi="Times New Roman"/>
      <w:sz w:val="20"/>
      <w:szCs w:val="20"/>
    </w:rPr>
  </w:style>
  <w:style w:type="paragraph" w:customStyle="1" w:styleId="Podstawowy">
    <w:name w:val="Podstawowy"/>
    <w:basedOn w:val="Normalny"/>
    <w:rsid w:val="00CE5F03"/>
    <w:pPr>
      <w:spacing w:before="200" w:after="0" w:line="276" w:lineRule="auto"/>
    </w:pPr>
    <w:rPr>
      <w:rFonts w:ascii="Arial" w:eastAsia="Times New Roman" w:hAnsi="Arial" w:cs="Times New Roman"/>
      <w:szCs w:val="24"/>
      <w:lang w:val="en-US"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E5F0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E5F03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CE5F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1518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Czajkowski</dc:creator>
  <cp:keywords/>
  <dc:description/>
  <cp:lastModifiedBy>Adam Czajkowski</cp:lastModifiedBy>
  <cp:revision>1</cp:revision>
  <dcterms:created xsi:type="dcterms:W3CDTF">2016-08-30T09:27:00Z</dcterms:created>
  <dcterms:modified xsi:type="dcterms:W3CDTF">2016-08-30T09:31:00Z</dcterms:modified>
</cp:coreProperties>
</file>